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8AE57" w14:textId="3FF97B73" w:rsidR="00B00465" w:rsidRPr="00B00465" w:rsidRDefault="00B00465" w:rsidP="00662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B00465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ЕВРОПЕЙСКА</w:t>
      </w:r>
      <w:r w:rsidR="00662AAD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КОМИСИЯ</w:t>
      </w:r>
    </w:p>
    <w:p w14:paraId="35D50A9C" w14:textId="66C1A5F4" w:rsidR="00B00465" w:rsidRPr="00B00465" w:rsidRDefault="00B00465" w:rsidP="00662AA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  <w:t>Брюксел,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  <w:t>20.11.2025</w:t>
      </w:r>
    </w:p>
    <w:p w14:paraId="4904D5B1" w14:textId="31F8F78F" w:rsidR="00B00465" w:rsidRDefault="00B00465" w:rsidP="00662AA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  <w:t>COM(2025)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  <w:t>801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  <w:t>final</w:t>
      </w:r>
      <w:proofErr w:type="spellEnd"/>
    </w:p>
    <w:p w14:paraId="373DFB26" w14:textId="5FD8B53F" w:rsidR="00662AAD" w:rsidRDefault="00662AAD" w:rsidP="00662AA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</w:p>
    <w:p w14:paraId="17AE26ED" w14:textId="77777777" w:rsidR="00662AAD" w:rsidRPr="00B00465" w:rsidRDefault="00662AAD" w:rsidP="00662AA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</w:p>
    <w:p w14:paraId="5986CB07" w14:textId="7586473C" w:rsidR="00B00465" w:rsidRDefault="00B00465" w:rsidP="00B0046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СЪОБЩЕНИЕ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НА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ДО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ЕВРОПЕЙСКИЯ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ПАРЛАМЕНТ,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СЪВЕТА,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ЕВРОПЕЙСКИЯ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ИКОНОМИЧЕСКИ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И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СОЦИАЛЕН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КОМИТЕТ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И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КОМИТЕТА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НА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РЕГИОНИТЕ</w:t>
      </w:r>
    </w:p>
    <w:p w14:paraId="3B67C57A" w14:textId="77777777" w:rsidR="00662AAD" w:rsidRPr="00B00465" w:rsidRDefault="00662AAD" w:rsidP="00B0046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</w:pPr>
    </w:p>
    <w:p w14:paraId="55407FD6" w14:textId="77777777" w:rsidR="00662AAD" w:rsidRDefault="00B00465" w:rsidP="00B00465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Европейска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стратегия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за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съдебно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обучение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2025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—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2030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г.</w:t>
      </w:r>
    </w:p>
    <w:p w14:paraId="2327C2AE" w14:textId="26751A7F" w:rsidR="00B00465" w:rsidRPr="00B00465" w:rsidRDefault="00B00465" w:rsidP="00B00465">
      <w:pPr>
        <w:shd w:val="clear" w:color="auto" w:fill="FFFFFF"/>
        <w:spacing w:after="24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Създаване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на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благоприятна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среда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за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стратегията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„Цифрово</w:t>
      </w:r>
      <w:r w:rsidR="00662AA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bg-BG"/>
        </w:rPr>
        <w:t>правосъдие@2030“</w:t>
      </w:r>
    </w:p>
    <w:p w14:paraId="47645FB5" w14:textId="77777777" w:rsidR="00B00465" w:rsidRPr="00B00465" w:rsidRDefault="00B00465" w:rsidP="00B0046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0B87C11" w14:textId="60F37EC6" w:rsidR="00B00465" w:rsidRPr="00662AAD" w:rsidRDefault="00B00465" w:rsidP="00662AAD">
      <w:pPr>
        <w:pStyle w:val="a5"/>
        <w:numPr>
          <w:ilvl w:val="0"/>
          <w:numId w:val="2"/>
        </w:numPr>
        <w:shd w:val="clear" w:color="auto" w:fill="FFFFFF"/>
        <w:spacing w:before="240" w:after="120" w:line="240" w:lineRule="auto"/>
        <w:ind w:left="851" w:hanging="357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Стратегия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периода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2025—2030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г.</w:t>
      </w:r>
      <w:r w:rsidR="00662AAD">
        <w:rPr>
          <w:rStyle w:val="ab"/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footnoteReference w:id="1"/>
      </w:r>
    </w:p>
    <w:p w14:paraId="707C85CB" w14:textId="7D7A6EB0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внедряването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решения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изграждането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капацитета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публичните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администрации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ефикасни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висококачествени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обществени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услуги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икономически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</w:t>
      </w:r>
      <w:r w:rsidR="00662AAD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2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толкова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вярно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важно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където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трансформация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потенциала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повиши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ефикасността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качеството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правосъдие.</w:t>
      </w:r>
    </w:p>
    <w:p w14:paraId="7425B30E" w14:textId="60811C5F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осигуряват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високо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прозрачност,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по-вероятно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привлекат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инвестиции.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Следователно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допринесат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растежа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конкурентоспособността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икономиките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3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Качеството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може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подобрено,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когато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съсредоточат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задължение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правораздаване,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рутинни,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технически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задачи.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потенциала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осигури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по-бърз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по-опростен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доближи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гражданите,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предприятията.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Важно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по-устойчиво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кризи,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беше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допълнително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илюстрирано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време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пандемията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Covid-19.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Решаващата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роля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беше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потвърдена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пакт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конкурентоспособност</w:t>
      </w:r>
      <w:r w:rsidR="00662AAD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4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съвет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hyperlink r:id="rId8" w:history="1"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политическите</w:t>
        </w:r>
        <w:r w:rsidR="00662AA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 xml:space="preserve"> </w:t>
        </w:r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насоки</w:t>
        </w:r>
        <w:r w:rsidR="00662AA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 xml:space="preserve"> </w:t>
        </w:r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на</w:t>
        </w:r>
        <w:r w:rsidR="00662AA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 xml:space="preserve"> </w:t>
        </w:r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председателя</w:t>
        </w:r>
        <w:r w:rsidR="00662AA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 xml:space="preserve"> </w:t>
        </w:r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Фон</w:t>
        </w:r>
        <w:r w:rsidR="00662AA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 xml:space="preserve"> </w:t>
        </w:r>
        <w:proofErr w:type="spellStart"/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дер</w:t>
        </w:r>
        <w:proofErr w:type="spellEnd"/>
        <w:r w:rsidR="00662AA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 xml:space="preserve"> </w:t>
        </w:r>
        <w:proofErr w:type="spellStart"/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Лайен</w:t>
        </w:r>
        <w:proofErr w:type="spellEnd"/>
        <w:r w:rsidR="00662AA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 xml:space="preserve"> </w:t>
        </w:r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за</w:t>
        </w:r>
        <w:r w:rsidR="00662AA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 xml:space="preserve"> </w:t>
        </w:r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периода</w:t>
        </w:r>
        <w:r w:rsidR="00662AA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 xml:space="preserve"> </w:t>
        </w:r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2024</w:t>
        </w:r>
        <w:r w:rsidR="00662AA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-</w:t>
        </w:r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2029</w:t>
        </w:r>
        <w:r w:rsidR="00662AA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 xml:space="preserve"> </w:t>
        </w:r>
        <w:r w:rsidRPr="00B0046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bg-BG"/>
          </w:rPr>
          <w:t>г.</w:t>
        </w:r>
      </w:hyperlink>
      <w:r w:rsidR="00662AAD">
        <w:rPr>
          <w:rStyle w:val="ab"/>
          <w:rFonts w:ascii="inherit" w:eastAsia="Times New Roman" w:hAnsi="inherit" w:cs="Times New Roman"/>
          <w:color w:val="000000"/>
          <w:sz w:val="24"/>
          <w:szCs w:val="24"/>
          <w:lang w:eastAsia="bg-BG"/>
        </w:rPr>
        <w:footnoteReference w:id="5"/>
      </w:r>
    </w:p>
    <w:p w14:paraId="65531918" w14:textId="09D9A89C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Стратегията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„Цифрово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правосъдие@2030“</w:t>
      </w:r>
      <w:r w:rsidR="00662AAD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6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ускоряване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2030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означава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внедряването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подобряване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ефективността,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една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разработването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инфраструктура.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2030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предприятията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физическите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лица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лесен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онлайн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цялото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законодателство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Очаква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всяка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единна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входна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точка,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която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лица,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хората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увреждания,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осъществяват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контакт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съдилищата,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участват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заседания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започват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водят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производства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всяко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време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навсякъде.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увеличи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същевременно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намали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разходите.</w:t>
      </w:r>
    </w:p>
    <w:p w14:paraId="3FF6950C" w14:textId="4499F86B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потенциал,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придобият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осведоменост.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ключов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фактор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визия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„Цифрово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правосъдие@2030“</w:t>
      </w:r>
      <w:r w:rsidR="00662AAD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7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преодолява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недостигът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подчертан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докладите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Драги</w:t>
      </w:r>
      <w:r w:rsidR="00662AAD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8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Лета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9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Ниенистьо</w:t>
      </w:r>
      <w:proofErr w:type="spellEnd"/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10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електронно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Съвета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периода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2024—2028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г.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11"/>
      </w:r>
      <w:r w:rsidR="002B431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подчертава,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трансформация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овластяване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изграждане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капацитет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неговите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потребители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обърне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внимание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</w:p>
    <w:p w14:paraId="71C0B357" w14:textId="4627F5ED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„Цифрово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правосъдие@2030“,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настоящата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призовава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конкретни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мерки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благоприятна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повишаване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квалификацията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инфраструктура,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надграждането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материалното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процесуалното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адаптирани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икономика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общество,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развиването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разбиране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част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нуждаят,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технологии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12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заключенията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Съвета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изкуствен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интелект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13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призовават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разработят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справят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по-специално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</w:p>
    <w:p w14:paraId="179E2E4F" w14:textId="77777777" w:rsidR="00662AAD" w:rsidRPr="00662AAD" w:rsidRDefault="00B00465" w:rsidP="00662AAD">
      <w:pPr>
        <w:pStyle w:val="a5"/>
        <w:numPr>
          <w:ilvl w:val="0"/>
          <w:numId w:val="2"/>
        </w:numPr>
        <w:shd w:val="clear" w:color="auto" w:fill="FFFFFF"/>
        <w:spacing w:before="240" w:after="120" w:line="240" w:lineRule="auto"/>
        <w:ind w:left="851" w:hanging="357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Цели</w:t>
      </w:r>
    </w:p>
    <w:p w14:paraId="706AFDF7" w14:textId="4E5114F7" w:rsidR="00B00465" w:rsidRPr="00662AAD" w:rsidRDefault="00B00465" w:rsidP="00662AAD">
      <w:pPr>
        <w:pStyle w:val="a5"/>
        <w:numPr>
          <w:ilvl w:val="1"/>
          <w:numId w:val="2"/>
        </w:numPr>
        <w:shd w:val="clear" w:color="auto" w:fill="FFFFFF"/>
        <w:spacing w:before="240" w:after="120" w:line="240" w:lineRule="auto"/>
        <w:ind w:left="1418" w:hanging="574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умения</w:t>
      </w:r>
    </w:p>
    <w:p w14:paraId="539DD1BC" w14:textId="3729FB60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нуждае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уменията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14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Поради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причина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въведе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Съюза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уменията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15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план,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който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всеки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изгражда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солидни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ангажира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повишаване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квалификацията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живот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придобива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задълбочени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роля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16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политическата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програма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„Цифрово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десетилетие“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17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която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беше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формулирана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2030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ключовите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обществени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услуги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100%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онлайн.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съобщението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укрепването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административно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пространство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ComPact</w:t>
      </w:r>
      <w:proofErr w:type="spellEnd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)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18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предвиждат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конкретни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мерки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устойчивото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нововъзникващите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повишаването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сила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публичния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сектор.</w:t>
      </w:r>
    </w:p>
    <w:p w14:paraId="6883ED70" w14:textId="207C485E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постигнат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придобият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грамотност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19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инфраструктура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компетентно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процедури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децентрализираната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създадена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(ЕС)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2023/2844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20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бази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управляват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производства.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зависимост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роля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управляват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делата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път,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т.е.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оценяват,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обработват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документи,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подходящ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видеоконферентна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връзка,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която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зачитане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процесуалните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заподозрените,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обвиняемите,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издирваните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лица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жертвите,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хората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увреждания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спазване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изискванията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данните.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Тъй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много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процесуални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актове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изготвят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изискват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участието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редовно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подобряват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децата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същевременно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участие.</w:t>
      </w:r>
    </w:p>
    <w:p w14:paraId="2838E138" w14:textId="09CAD025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отговарят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по-голяма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степен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променящите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потребности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недостига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произтичащи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технологичното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развитие,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адаптират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променящата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намали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недостига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Управлението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предизвикателствата,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породени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трансформация,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изисква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експертите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компетентните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органи.</w:t>
      </w:r>
    </w:p>
    <w:p w14:paraId="2924DAAA" w14:textId="428C4256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постигнат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повишаване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Успоредно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отговорно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внедряването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администрации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разполагат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солидни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познания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отговорно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Инициативите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отдават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приоритет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развитието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грамотността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разбиране,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оценка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подходящо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пълна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осведоменост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ползи,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ограничения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присъщи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рискове,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спазването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приложимата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рамка.</w:t>
      </w:r>
    </w:p>
    <w:p w14:paraId="05E583E1" w14:textId="3B97E5B6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Подаването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електронен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път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изисква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администрации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управляват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електронно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пълния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потенциал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21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добре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управляват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публикуват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решения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онлайн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направят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структуриран,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машинночетим</w:t>
      </w:r>
      <w:proofErr w:type="spellEnd"/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позволяващ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изтегляне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формат,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който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пространство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разбере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взаимодействието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обхваща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темата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оперативната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съвместимост.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разработка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може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Академията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оперативно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съвместима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22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контекста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2024/903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(Акт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оперативно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съвместима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Европа).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подобрят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компетенции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упражняването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задължения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„електронна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съдийска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професия“),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темите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електронно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управление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дела,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електронно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управление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зали,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лидерство,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комуникация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електронни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средства,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етика,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киберсигурност</w:t>
      </w:r>
      <w:proofErr w:type="spellEnd"/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устойчивост.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Ръководителите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ръководните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кадри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сектора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развиват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управление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промените,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адаптират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технологичния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напредък,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направляват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преход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администрации,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заинтересовани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преход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технологии.</w:t>
      </w:r>
    </w:p>
    <w:p w14:paraId="5100F33A" w14:textId="40A9766A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Ключовите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призовава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настоящата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напълно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съвместими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специфичните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мерки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23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съобщението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„Укрепване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административно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пространство“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ComPAct</w:t>
      </w:r>
      <w:proofErr w:type="spellEnd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).</w:t>
      </w:r>
    </w:p>
    <w:p w14:paraId="2C7FE385" w14:textId="7BE81714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1: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изгради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грамотност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съобразено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специфичните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роли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отговорности.</w:t>
      </w:r>
    </w:p>
    <w:p w14:paraId="41482AED" w14:textId="1E052F6A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подходящи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модули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придружават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актове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признаване,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компонент.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подходящо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разположение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всеки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потребител,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придружава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инфраструктурата,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внедрени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</w:p>
    <w:p w14:paraId="08A39620" w14:textId="620D577F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3: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всеки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попадащ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обхвата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модул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езици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създадени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посочения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регламент.</w:t>
      </w:r>
    </w:p>
    <w:p w14:paraId="06C2FCCE" w14:textId="07B27D7F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4: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Приканване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систематично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идентифицират,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документират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популяризират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успешни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примери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изводи,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извлечени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внедряването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инфраструктура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сектора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</w:p>
    <w:p w14:paraId="016920A3" w14:textId="385886D9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5: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Постепенно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внедряване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сертифициране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отразява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конкретните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характеристики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професии.</w:t>
      </w:r>
    </w:p>
    <w:p w14:paraId="3915D0BA" w14:textId="14CD4B43" w:rsidR="00B00465" w:rsidRPr="00C07FB9" w:rsidRDefault="00B00465" w:rsidP="00C07FB9">
      <w:pPr>
        <w:pStyle w:val="a5"/>
        <w:numPr>
          <w:ilvl w:val="1"/>
          <w:numId w:val="2"/>
        </w:numPr>
        <w:shd w:val="clear" w:color="auto" w:fill="FFFFFF"/>
        <w:spacing w:before="240" w:after="120" w:line="240" w:lineRule="auto"/>
        <w:ind w:left="1418" w:hanging="574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Материалното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право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контекста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цифровата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икономика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цифровото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общество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инструментите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трансгранично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</w:p>
    <w:p w14:paraId="14F53C4D" w14:textId="5F292E0D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преход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доведе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продължи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води)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законодателство,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уреждащо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много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икономика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общество.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Той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внесе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внася)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промени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съществуващите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справяне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технологични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предизвикателства.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Поради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наложително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познават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материалното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насочено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икономика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общество,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изкуствения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интелект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24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данните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25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оперативно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съвместима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26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пазари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27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услуги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28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Директивата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съдържание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29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Директивата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продажбата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стоки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30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Директивата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отговорността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вреди,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причинени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дефект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стока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31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терористичното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съдържание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онлайн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32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разбират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преминават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практическо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данните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33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Директивата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правоприлагането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34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данните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35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контекста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нуждаят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познания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законодателството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достъпност,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достъпността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36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Сложните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трансакции,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предложената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корпоративна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„28-и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режим“,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подпомаганото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алгоритми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вземане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решения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обработването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лични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няколко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примера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възникнат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спорове,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каквито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съществуващите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преминали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първоначално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може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разрешаване.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когато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появи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изменено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законодателство,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него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непрекъснатото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повишаване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квалификацията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решенията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вземат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норми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ефективно.</w:t>
      </w:r>
    </w:p>
    <w:p w14:paraId="1F1714EA" w14:textId="7F0C6EF4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задълбочено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разбиране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процесуалното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благодарение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цифровизираната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събиране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доказателства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37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връчване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документи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38"/>
      </w:r>
      <w:r w:rsidR="002B431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изискват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осъществяват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комуникация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електронен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път,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считано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1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май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2025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г.,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децентрализираните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създадени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съгласно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актове.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Поради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важно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владеят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добре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установена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добре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децентрализираните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системи.</w:t>
      </w:r>
    </w:p>
    <w:p w14:paraId="538A1EA9" w14:textId="6C77E65C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(ЕС)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2023/2844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беше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извършена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значителна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модернизация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съществуващите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канали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комуникация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напълно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запознати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децентрализираната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точка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електронен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създадени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посочения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задачите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адвокат,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който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желае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предяви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иск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малък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материален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интерес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процедура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искове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малък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материален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интерес,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запознат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процедурните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стъпки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съгласно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исковете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малък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материален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интерес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може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точка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електронен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изпрати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иска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компетентния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свой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съдията,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който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получава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иска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която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провежда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производство,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може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децентрализираната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обработи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иска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изпрати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отговора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обратно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ищеца.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подобен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прокурор,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който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издава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заповед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арест,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ясно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разбере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кога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предаде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Шенгенската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кога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децентрализираната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създадена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съгласно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(ЕС)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2023/2844.</w:t>
      </w:r>
    </w:p>
    <w:p w14:paraId="74C7286F" w14:textId="239DAF98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отношение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платформата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съвместните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екипи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разследване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39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децентрализираните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създадени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изменението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(ЕС)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2023/2131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отношение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обмен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дела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тероризъм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40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електронните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доказателства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41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трансфера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производства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дела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42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</w:p>
    <w:p w14:paraId="176731DF" w14:textId="529B4280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по-общ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запознати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по-специално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пълно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познаване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ограничения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правилата,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уреждат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присъщите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рискове.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преобразуване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реч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текст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транскрибиране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аудиозаписи</w:t>
      </w:r>
      <w:proofErr w:type="spellEnd"/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производства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заседания,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част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разследвания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услуги.</w:t>
      </w:r>
    </w:p>
    <w:p w14:paraId="6CF1021D" w14:textId="45A0203A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6: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Гарантиране,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програми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първоначално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предложенията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продължаващо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насочени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към:</w:t>
      </w:r>
    </w:p>
    <w:p w14:paraId="74EB0506" w14:textId="401128AA" w:rsidR="00B00465" w:rsidRPr="00B00465" w:rsidRDefault="00662AAD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 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материално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право,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свързано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цифровата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икономика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цифровото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общество,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защитата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индивидуалните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стопанските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цифровото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пространство;</w:t>
      </w:r>
    </w:p>
    <w:p w14:paraId="772CA5FF" w14:textId="7D85080A" w:rsidR="00B00465" w:rsidRPr="00B00465" w:rsidRDefault="00662AAD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 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взаимно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признаване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граждански,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търговски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наказателни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дела,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специален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акцент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="00B00465"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цифровизацията.</w:t>
      </w:r>
    </w:p>
    <w:p w14:paraId="06E91A5B" w14:textId="29B0793A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7: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Приканване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редовно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идентифицират,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документират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популяризират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обмена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най-добри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извлечени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</w:p>
    <w:p w14:paraId="37A4CC22" w14:textId="69C49763" w:rsidR="00B00465" w:rsidRPr="00C07FB9" w:rsidRDefault="00B00465" w:rsidP="00C07FB9">
      <w:pPr>
        <w:pStyle w:val="a5"/>
        <w:numPr>
          <w:ilvl w:val="1"/>
          <w:numId w:val="2"/>
        </w:numPr>
        <w:shd w:val="clear" w:color="auto" w:fill="FFFFFF"/>
        <w:spacing w:before="240" w:after="120" w:line="240" w:lineRule="auto"/>
        <w:ind w:left="1418" w:hanging="574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Повишаване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осведомеността</w:t>
      </w:r>
    </w:p>
    <w:p w14:paraId="4837FB3C" w14:textId="67CD1B26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гражданскоправни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наказателноправни</w:t>
      </w:r>
      <w:proofErr w:type="spellEnd"/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въпроси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ускоряват,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разработването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по-бързо.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Поради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познания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потенциала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опростяване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повишаване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ефективността.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разбират,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нуждаят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солидни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среда.</w:t>
      </w:r>
    </w:p>
    <w:p w14:paraId="26AE0032" w14:textId="0C6F72B1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Същевременно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наясно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съвременните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43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ценности.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Поради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подчертае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връзката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независимостта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власт.</w:t>
      </w:r>
    </w:p>
    <w:p w14:paraId="7C4A3801" w14:textId="405F97ED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Технологиите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подкрепят,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заменят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човешката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преценка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отговорност.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освобождаване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капацитета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съсредоточат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задачи.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балансиран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поддържане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мотивация,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запазване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общественото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доверие.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предмет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ръководители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ръководители,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извършват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промени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администрации.</w:t>
      </w:r>
    </w:p>
    <w:p w14:paraId="46538742" w14:textId="2970F7B5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накрая,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подготви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играят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проактивна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роля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проектирането,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разработването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внедряването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продукти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услуги,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Процесите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трансформация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проектирани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полезни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ежедневните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задачи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44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</w:p>
    <w:p w14:paraId="0D78C36D" w14:textId="1634E971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8: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специфично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целесъобразността,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полезността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особено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връзка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ролите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отговорностите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</w:p>
    <w:p w14:paraId="6CEDD4E8" w14:textId="7A8D9A23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9: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ръководителите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ръководните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кадри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сектора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преход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разработване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приобщаващи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трансформация.</w:t>
      </w:r>
    </w:p>
    <w:p w14:paraId="7B0DBDD7" w14:textId="59BF10E7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10: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всяка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програма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модул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аспекти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цифровизацията.</w:t>
      </w:r>
    </w:p>
    <w:p w14:paraId="5938E128" w14:textId="0AEC17A0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11: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Улесняване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обмен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изграждане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осведоменост.</w:t>
      </w:r>
    </w:p>
    <w:p w14:paraId="7622A5B4" w14:textId="70A75028" w:rsidR="00B00465" w:rsidRPr="00C07FB9" w:rsidRDefault="00B00465" w:rsidP="00C07FB9">
      <w:pPr>
        <w:pStyle w:val="a5"/>
        <w:numPr>
          <w:ilvl w:val="1"/>
          <w:numId w:val="2"/>
        </w:numPr>
        <w:shd w:val="clear" w:color="auto" w:fill="FFFFFF"/>
        <w:spacing w:before="240" w:after="120" w:line="240" w:lineRule="auto"/>
        <w:ind w:left="1418" w:hanging="574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Други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цели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обученията</w:t>
      </w:r>
    </w:p>
    <w:p w14:paraId="2A3BD2FE" w14:textId="70EEAF42" w:rsidR="00B00465" w:rsidRPr="00C07FB9" w:rsidRDefault="00B00465" w:rsidP="00C07FB9">
      <w:pPr>
        <w:pStyle w:val="a5"/>
        <w:numPr>
          <w:ilvl w:val="2"/>
          <w:numId w:val="2"/>
        </w:numPr>
        <w:shd w:val="clear" w:color="auto" w:fill="FFFFFF"/>
        <w:spacing w:before="240" w:after="120" w:line="240" w:lineRule="auto"/>
        <w:ind w:left="1843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Основни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върховенство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закона</w:t>
      </w:r>
    </w:p>
    <w:p w14:paraId="541A23A1" w14:textId="07CA5792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важно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изграждането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зачитат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основополагащите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ценности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принципите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върховенството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демокрацията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равенството.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доверие,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стимулира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растежа.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зачитането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принципите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върховенството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добре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функциониращите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предприемачеството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инвестициите.</w:t>
      </w:r>
    </w:p>
    <w:p w14:paraId="09D5AAAA" w14:textId="74130F66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Независимите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играят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централна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роля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Хартата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45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вторичното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превръщат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реалност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хората.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укрепване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Хартата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46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ангажимент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приоритет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Хартата,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нейния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обхват,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съдържание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взаимодействието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ѝ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конвенция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човека.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обхваща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конкретни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достижения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лицата,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сигнализиращи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нередности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47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срещу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речта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омразата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престъпления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омраза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48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съобразено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интересите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детето.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Допълнителни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приоритети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очертани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детето,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която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призовава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образование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принципи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висшия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интерес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детето,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детето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изслушано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съобразени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възрастта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процедури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законодателството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недискриминация</w:t>
      </w:r>
      <w:proofErr w:type="spellEnd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отношение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хората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увреждания.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по-общ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равенството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половете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съдържанието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неговата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организация,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подбора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участници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участието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експерти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събирането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данни.</w:t>
      </w:r>
    </w:p>
    <w:p w14:paraId="6500E0B2" w14:textId="72AF001A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12: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Популяризиране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програми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първоначално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предложенията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продължаващо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насочени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към:</w:t>
      </w:r>
    </w:p>
    <w:p w14:paraId="6DB8FB8E" w14:textId="2806F5E8" w:rsidR="00B00465" w:rsidRPr="00B00465" w:rsidRDefault="00B00465" w:rsidP="00662AAD">
      <w:pPr>
        <w:shd w:val="clear" w:color="auto" w:fill="FFFFFF"/>
        <w:tabs>
          <w:tab w:val="left" w:pos="851"/>
        </w:tabs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ab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Достиженията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принципите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върховенството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закона;</w:t>
      </w:r>
    </w:p>
    <w:p w14:paraId="6C977031" w14:textId="6401A9C8" w:rsidR="00B00465" w:rsidRPr="00B00465" w:rsidRDefault="00B00465" w:rsidP="00662AAD">
      <w:pPr>
        <w:shd w:val="clear" w:color="auto" w:fill="FFFFFF"/>
        <w:tabs>
          <w:tab w:val="left" w:pos="851"/>
        </w:tabs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ab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Достиженията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недискриминацията</w:t>
      </w:r>
      <w:proofErr w:type="spellEnd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Хартата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процесуалните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съществуващите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механизми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защита.</w:t>
      </w:r>
    </w:p>
    <w:p w14:paraId="08B80084" w14:textId="3A745723" w:rsidR="00B00465" w:rsidRPr="00C07FB9" w:rsidRDefault="00B00465" w:rsidP="00C07FB9">
      <w:pPr>
        <w:pStyle w:val="a5"/>
        <w:numPr>
          <w:ilvl w:val="2"/>
          <w:numId w:val="2"/>
        </w:numPr>
        <w:shd w:val="clear" w:color="auto" w:fill="FFFFFF"/>
        <w:spacing w:before="240" w:after="120" w:line="240" w:lineRule="auto"/>
        <w:ind w:left="1843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Постоянни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области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ЕС</w:t>
      </w:r>
    </w:p>
    <w:p w14:paraId="15F86D0C" w14:textId="4489F34A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преминават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придобиват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експертен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опит,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систематично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ежедневната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неговото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върховенство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когато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приложимо,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прякото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включва,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задълженията,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залегнали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зачитат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всяко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време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производства.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запазят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почтеността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поддържат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познания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законодателството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изисква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постигнат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желаното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особено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отношение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уреждащи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принципа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признаване.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крайъгълният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камък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изграждането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по-силно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по-сплотено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пространство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зачита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принципите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върховенството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гражданите.</w:t>
      </w:r>
    </w:p>
    <w:p w14:paraId="767C1576" w14:textId="213D026C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може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когато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считат,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решенията,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компетентните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равностойни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собствени,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предполага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доверие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адекватността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доверие,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правилно.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Поради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нововъзникващите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практически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предизвикателства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признаване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гражданското,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търговското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посрещнати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акцент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модерно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правораздаване.</w:t>
      </w:r>
    </w:p>
    <w:p w14:paraId="1150413D" w14:textId="5E8FE5BB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гражданскоправни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въпроси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вече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съществуват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„Брюксел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Ia</w:t>
      </w:r>
      <w:proofErr w:type="spellEnd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“,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„Брюксел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IIб</w:t>
      </w:r>
      <w:proofErr w:type="spellEnd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“,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връчването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наследяването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Директивата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борба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стратегическите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производства,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насочени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срещу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участието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обществеността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49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заедно,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част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достиженията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технически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често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недостатъчно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разбрани,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въпреки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нарастващото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поради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увеличеното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движение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хора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търговия.</w:t>
      </w:r>
    </w:p>
    <w:p w14:paraId="4EE36DE4" w14:textId="057E91A8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отношение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наказателноправни</w:t>
      </w:r>
      <w:proofErr w:type="spellEnd"/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въпроси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важно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получат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подходящо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многобройните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Повечето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принципа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признаване,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електронните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доказателства,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трансфера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производства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законодателни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актове,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неотдавнашната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Директива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отнемането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конфискацията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активи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50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борят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престъпност,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разбират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който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хармонизират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престъпленията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по-специално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наскоро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приетите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директиви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нарушаването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ограничителните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мерки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Съюза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51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защитата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околната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52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Директивата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борбата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измамите,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засягащи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интереси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Съюза,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наказателноправен</w:t>
      </w:r>
      <w:proofErr w:type="spellEnd"/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ред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53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Директивата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борба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наказателноправен</w:t>
      </w:r>
      <w:proofErr w:type="spellEnd"/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ред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54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Важно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отбележи,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Директивата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борба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трафика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хора,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изменена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2024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</w:t>
      </w:r>
      <w:r w:rsidR="002B431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55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изрично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изисква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популяризират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специализирано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престъпления,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трафик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хора.</w:t>
      </w:r>
    </w:p>
    <w:p w14:paraId="05FBAE88" w14:textId="52DCCCAD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запознати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агенции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мандат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бърза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реакция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заплахите,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породени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престъпност.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Поради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задачите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правомощията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прокуратура,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Евроюст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задължения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тях.</w:t>
      </w:r>
    </w:p>
    <w:p w14:paraId="23633DB2" w14:textId="4DEE42C4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жертвите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(2020—2025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г.)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подчертава,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жертвите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достигне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участници,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контакт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жертвите,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която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полезно,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единният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пазар,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който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ключово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конкурентоспособността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Единният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пазар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може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функционира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успешно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неговите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по-специално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свободното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движение,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правилно,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решаващо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разбрани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политиката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околната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околната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постигнати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функции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преминат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специализирано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</w:p>
    <w:p w14:paraId="3142A889" w14:textId="651D0D41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Накрая,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членовете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власт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преминат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разглеждане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представителни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искове,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посочено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Директивата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представителните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искове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56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съгласно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преразгледаната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Директива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алтернативно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разрешаване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спорове.</w:t>
      </w:r>
    </w:p>
    <w:p w14:paraId="6548658F" w14:textId="40643B67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Посочените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по-горе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бяха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предишни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разработването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била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отпусната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значителна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Тъй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продължават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очаква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продължат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разглеждат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част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дейности.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продължи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предлага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зависимост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средства.</w:t>
      </w:r>
    </w:p>
    <w:p w14:paraId="256D1E54" w14:textId="731FDC99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13: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Гарантиране,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програми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първоначално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предлагането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продължаващо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насочени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към:</w:t>
      </w:r>
    </w:p>
    <w:p w14:paraId="66314E43" w14:textId="2F25A42F" w:rsidR="00B00465" w:rsidRPr="00B00465" w:rsidRDefault="00B00465" w:rsidP="00662AAD">
      <w:pPr>
        <w:shd w:val="clear" w:color="auto" w:fill="FFFFFF"/>
        <w:tabs>
          <w:tab w:val="left" w:pos="851"/>
        </w:tabs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ab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ежедневната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практика;</w:t>
      </w:r>
    </w:p>
    <w:p w14:paraId="0C9440B3" w14:textId="0D935553" w:rsidR="00B00465" w:rsidRPr="00B00465" w:rsidRDefault="00B00465" w:rsidP="00662AAD">
      <w:pPr>
        <w:shd w:val="clear" w:color="auto" w:fill="FFFFFF"/>
        <w:tabs>
          <w:tab w:val="left" w:pos="851"/>
        </w:tabs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ab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преработеното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законодателство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ЕС;</w:t>
      </w:r>
    </w:p>
    <w:p w14:paraId="2E82DD22" w14:textId="0893DE67" w:rsidR="00B00465" w:rsidRPr="00B00465" w:rsidRDefault="00B00465" w:rsidP="00662AAD">
      <w:pPr>
        <w:shd w:val="clear" w:color="auto" w:fill="FFFFFF"/>
        <w:tabs>
          <w:tab w:val="left" w:pos="851"/>
        </w:tabs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ab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граждански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дела,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агенции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мандат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сътрудничество;</w:t>
      </w:r>
    </w:p>
    <w:p w14:paraId="6D6A2D7A" w14:textId="2D91E6E9" w:rsidR="00B00465" w:rsidRPr="00B00465" w:rsidRDefault="00B00465" w:rsidP="00662AAD">
      <w:pPr>
        <w:shd w:val="clear" w:color="auto" w:fill="FFFFFF"/>
        <w:tabs>
          <w:tab w:val="left" w:pos="851"/>
        </w:tabs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ab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Достиженията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процесуалните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заподозрените,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обвиняемите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издирваните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лица,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жертвите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престъпления;</w:t>
      </w:r>
    </w:p>
    <w:p w14:paraId="1D5F9024" w14:textId="2BA52872" w:rsidR="00B00465" w:rsidRPr="00B00465" w:rsidRDefault="00B00465" w:rsidP="00662AAD">
      <w:pPr>
        <w:shd w:val="clear" w:color="auto" w:fill="FFFFFF"/>
        <w:tabs>
          <w:tab w:val="left" w:pos="851"/>
        </w:tabs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ab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Достиженията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единния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пазар,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по-специално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свободното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движение.</w:t>
      </w:r>
    </w:p>
    <w:p w14:paraId="7629816D" w14:textId="7F74A7D1" w:rsidR="00B00465" w:rsidRPr="00C07FB9" w:rsidRDefault="00B00465" w:rsidP="00C07FB9">
      <w:pPr>
        <w:pStyle w:val="a5"/>
        <w:numPr>
          <w:ilvl w:val="2"/>
          <w:numId w:val="2"/>
        </w:numPr>
        <w:shd w:val="clear" w:color="auto" w:fill="FFFFFF"/>
        <w:spacing w:before="240" w:after="120" w:line="240" w:lineRule="auto"/>
        <w:ind w:left="1843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Разширяване</w:t>
      </w:r>
    </w:p>
    <w:p w14:paraId="31573653" w14:textId="41163B2B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критериите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кандидатки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потенциални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кандидатки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изградят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независима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корупция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решаващо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съдийската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професия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57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акцент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принципите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върховенството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ежедневната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справяне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предизвикателствата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солидна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оценка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потребностите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ориентиран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проблемите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играе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важна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роля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процеса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възстановяване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реконструкция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Украйна.</w:t>
      </w:r>
    </w:p>
    <w:p w14:paraId="79CBCE36" w14:textId="09EFE06E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14: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Гарантиране,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кандидатки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потенциални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кандидатки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акцент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върху:</w:t>
      </w:r>
    </w:p>
    <w:p w14:paraId="1AB2F970" w14:textId="6C8BC4FF" w:rsidR="00B00465" w:rsidRPr="00B00465" w:rsidRDefault="00B00465" w:rsidP="00662AAD">
      <w:pPr>
        <w:shd w:val="clear" w:color="auto" w:fill="FFFFFF"/>
        <w:tabs>
          <w:tab w:val="left" w:pos="851"/>
        </w:tabs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ab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достиженията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ЕСс</w:t>
      </w:r>
      <w:proofErr w:type="spellEnd"/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акцент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принципите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върховенството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закона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права;</w:t>
      </w:r>
    </w:p>
    <w:p w14:paraId="5F17EF10" w14:textId="3AD81BE4" w:rsidR="00B00465" w:rsidRPr="00B00465" w:rsidRDefault="00B00465" w:rsidP="00662AAD">
      <w:pPr>
        <w:shd w:val="clear" w:color="auto" w:fill="FFFFFF"/>
        <w:tabs>
          <w:tab w:val="left" w:pos="851"/>
        </w:tabs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ab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съдийска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професия</w:t>
      </w:r>
    </w:p>
    <w:p w14:paraId="343B2D8D" w14:textId="33212355" w:rsidR="00B00465" w:rsidRPr="00C07FB9" w:rsidRDefault="00B00465" w:rsidP="00C07FB9">
      <w:pPr>
        <w:pStyle w:val="a5"/>
        <w:numPr>
          <w:ilvl w:val="0"/>
          <w:numId w:val="2"/>
        </w:numPr>
        <w:shd w:val="clear" w:color="auto" w:fill="FFFFFF"/>
        <w:spacing w:before="240" w:after="120" w:line="240" w:lineRule="auto"/>
        <w:ind w:left="851" w:hanging="357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Постигане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целите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изпълнение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действия</w:t>
      </w:r>
    </w:p>
    <w:p w14:paraId="5D4F53E9" w14:textId="5F9406F2" w:rsidR="00B00465" w:rsidRPr="00C07FB9" w:rsidRDefault="00B00465" w:rsidP="00C07FB9">
      <w:pPr>
        <w:pStyle w:val="a5"/>
        <w:numPr>
          <w:ilvl w:val="1"/>
          <w:numId w:val="2"/>
        </w:numPr>
        <w:shd w:val="clear" w:color="auto" w:fill="FFFFFF"/>
        <w:spacing w:before="240" w:after="120" w:line="240" w:lineRule="auto"/>
        <w:ind w:left="1418" w:hanging="574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Целеви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групи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заинтересовани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страни</w:t>
      </w:r>
    </w:p>
    <w:p w14:paraId="4752FBBE" w14:textId="68447AAA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Настоящата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насочена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магистратите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прокурори,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съдилищата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прокуратурите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(адвокати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частна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нотариуси,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изпълнители,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синдици,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медиатори</w:t>
      </w:r>
      <w:proofErr w:type="spellEnd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затворите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пробационни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устни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писмени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преводачи).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насочена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първоначално/въвеждащо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продължаващо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акцент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разпространителите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58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оператори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Тъй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зависимост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групи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кандидатки),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важно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организации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наред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—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участват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дейности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тъй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познават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най-добре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положението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потребности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категориите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представляват.</w:t>
      </w:r>
    </w:p>
    <w:p w14:paraId="559089A7" w14:textId="2DD37CD3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обърне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внимание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преодоляването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пропуските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Съюза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групи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географските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региони.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кандидатки,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отношение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предвид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дейности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</w:p>
    <w:p w14:paraId="24FDBF82" w14:textId="1A2FE7F1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(EJTN)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играе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важна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роля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платформа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магистрати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служители.</w:t>
      </w:r>
    </w:p>
    <w:p w14:paraId="35A8B106" w14:textId="55BBBF0C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Академията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институт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публична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администрация,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EJTN,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фондация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адвокатите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(ELF)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организации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заинтересованите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бенефициерите</w:t>
      </w:r>
      <w:proofErr w:type="spellEnd"/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организират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култивиране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по-широка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перспектива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участниците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улесняване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обмен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EJTN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добра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позиция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укрепва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доверие,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култура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последователното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магистратите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могло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допълнено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доразвито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равнище.</w:t>
      </w:r>
    </w:p>
    <w:p w14:paraId="239C0202" w14:textId="2313A05C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равнище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движещите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иновативните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пилотните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методи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разработят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готови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приспособими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материали,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преведени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езици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обхващащи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приоритетни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материали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проектирани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отговарят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специфичните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условия,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практически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обстоятелства,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съобразени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приспособими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категории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</w:p>
    <w:p w14:paraId="3305BD80" w14:textId="429FEA7E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наказателноправни</w:t>
      </w:r>
      <w:proofErr w:type="spellEnd"/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въпроси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(ЕСМ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наказателноправни</w:t>
      </w:r>
      <w:proofErr w:type="spellEnd"/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въпроси)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граждански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търговски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дела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(ЕСМ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граждански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дела)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допринасят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ресурси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експертен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опит,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партньорското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улесняване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практическа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</w:p>
    <w:p w14:paraId="7E43A8DE" w14:textId="6413366C" w:rsidR="00B00465" w:rsidRPr="00C07FB9" w:rsidRDefault="00B00465" w:rsidP="00C07FB9">
      <w:pPr>
        <w:pStyle w:val="a5"/>
        <w:numPr>
          <w:ilvl w:val="1"/>
          <w:numId w:val="2"/>
        </w:numPr>
        <w:shd w:val="clear" w:color="auto" w:fill="FFFFFF"/>
        <w:spacing w:before="240" w:after="120" w:line="240" w:lineRule="auto"/>
        <w:ind w:left="1418" w:hanging="574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Привличане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финансиране</w:t>
      </w:r>
    </w:p>
    <w:p w14:paraId="04B256E5" w14:textId="0C38E227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11,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параграф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1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(ЕС)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2023/2844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отговарят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заделянето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част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компетентните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децентрализираната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създадена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съгласно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посочения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регламент,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подходящото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видеоконферентните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връзки.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когато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задълженията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грамотност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произтичащи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4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ИИ.</w:t>
      </w:r>
    </w:p>
    <w:p w14:paraId="48BC479D" w14:textId="4D9D2C01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една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тенденции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нашето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време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понастоящем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преструктурирането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сектор,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който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решаващо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едно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функциониращо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общество.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Налице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широк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консенсус,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ключов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компонент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59"/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благоприятната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успеха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трансформация.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обаче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остава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компетентност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представляват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Следователно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достатъчна,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значимо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себе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Поради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усилията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равнище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съчетани,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успешно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преминаване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помощта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налични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институциите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извършват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настоящата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зависимост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може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генерира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лоста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бюджети.</w:t>
      </w:r>
    </w:p>
    <w:p w14:paraId="7A142341" w14:textId="1940F83A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Програма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„Правосъдие“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играе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ключова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роля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настоящата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безвъзмездни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безвъзмездни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оперативни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разходи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трансгранични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проекти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подобри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вътрешната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координация,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програми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допринасящи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60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съгласувани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приоритетите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настоящата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по-добре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управлявани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най-ефективен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максимално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съществуващите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настоящата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нуждаят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по-силна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интеграция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стратегическо,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тематично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оперативно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равнище.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засиленото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мултидисциплинарна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платформа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борба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криминални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заплахи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(EMPACT)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Агенцията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съюз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правоприлагането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(CEPOL)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подобри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съгласуваността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наличното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същевременно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силна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правоприлагащите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потенциално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реализира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икономии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мащаба.</w:t>
      </w:r>
    </w:p>
    <w:p w14:paraId="719970EB" w14:textId="0C95D363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Още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настоящата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МФР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по-добре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увеличи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максимално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действителност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полезни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взаимодействия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избегне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припокриване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съдържанието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тясно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място.</w:t>
      </w:r>
    </w:p>
    <w:p w14:paraId="268DCE66" w14:textId="02551610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МФР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61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която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обхваща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периода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2028—2034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г.,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предложи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бюджетът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опростен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по-гъвкав,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насочено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приоритети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променящите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Една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МФР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преодолеят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фрагментирането,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припокриването,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правила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обединят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по-добро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насочване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разходите.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Поради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МФР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програма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„Правосъдие“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продължи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съсредоточава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него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Въпреки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призна,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програма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„Правосъдие“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равнището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62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предложи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увеличаване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ѝ,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получат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планове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партньорство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63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планове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партньорство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приоритети,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съобразени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специфичните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регионите.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Вследствие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приоритетите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планове.</w:t>
      </w:r>
    </w:p>
    <w:p w14:paraId="2933EF9B" w14:textId="5C175F4C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по-добре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постигнати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по-голяма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прозрачност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засилено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заинтересовани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участващи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възнамерява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усилия,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стимули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най-ефективните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структури,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подпомагане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регионални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партньорства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дългосрочни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подобрения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ЕС.</w:t>
      </w:r>
    </w:p>
    <w:p w14:paraId="487BCAE6" w14:textId="286C6C08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накрая,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вече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подчерта,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по-добрата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съгласуваност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инвестиционните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приоритети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инвестиционни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приоритети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може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увеличи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максимално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64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...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означава,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резултатите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постигнати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биха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оптимизирани,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съгласуват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настоящата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същевременно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адаптират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могло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засилено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съвместна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справяне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предизвикателства.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създадат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полезни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взаимодействия,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спомогнат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осигуряването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благоприятна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същевременно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усилията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станат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по-устойчиви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иновациите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капацитетът.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Моделът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„отдолу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нагоре“,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допълнен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равнище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могъл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ЕС.</w:t>
      </w:r>
    </w:p>
    <w:p w14:paraId="5023BF3B" w14:textId="517C018B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членове,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По-специално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(EJTN)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Съветът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адвокатските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колегии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общества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(CCBE)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ELF,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усилията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институции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създават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благоприятна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осигуряват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горепосочените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полезни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взаимодействия,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оптимизиране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финансирането.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съгласуване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инициативи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създадат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структурирани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канали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комуникация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институциите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принцип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направлява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който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подпомагащи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ресурсите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осигуряват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силен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лоста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членки.</w:t>
      </w:r>
    </w:p>
    <w:p w14:paraId="066C26EF" w14:textId="5BB66EF2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Съществуват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редица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равнище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биха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играят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ключова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роля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структурирана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комуникация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институциите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заинтересовани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съвети,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председателите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съдилища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съюз,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Асоциацията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съвети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върховните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административни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юрисдикции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съюз,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прокурорите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еквивалентните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институции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равнище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върховни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съдилища,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CCBE,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адвокатска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колегия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наказателни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дела,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Съветът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нотариатите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съюз,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съюз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служители,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съюз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длъжностни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лица,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Фондацията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изпълнители,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организация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затворите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изправителните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служби,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конфедерация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прокуратурите,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сдруженията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работещите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допринасят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призивите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изграждането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капацитет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обменят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добри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определят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стандарти,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заинтересованите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сътрудничеството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програми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проекти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</w:p>
    <w:p w14:paraId="7E1E52E5" w14:textId="0898B3CE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15: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Гарантиране,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мрежи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усилията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техните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членове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постигнат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полезни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взаимодействия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равнище,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благоприятна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правосъдието.</w:t>
      </w:r>
    </w:p>
    <w:p w14:paraId="6C5F249C" w14:textId="592AA138" w:rsidR="00B00465" w:rsidRPr="00C07FB9" w:rsidRDefault="00B00465" w:rsidP="00C07FB9">
      <w:pPr>
        <w:pStyle w:val="a5"/>
        <w:numPr>
          <w:ilvl w:val="1"/>
          <w:numId w:val="2"/>
        </w:numPr>
        <w:shd w:val="clear" w:color="auto" w:fill="FFFFFF"/>
        <w:spacing w:before="240" w:after="120" w:line="240" w:lineRule="auto"/>
        <w:ind w:left="1418" w:hanging="574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</w:pPr>
      <w:bookmarkStart w:id="0" w:name="_GoBack"/>
      <w:bookmarkEnd w:id="0"/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Подкрепа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страна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662AAD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</w:p>
    <w:p w14:paraId="190C539C" w14:textId="27A3CE5C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платформа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(ETP)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Комисията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допълнително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разширена,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осигури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наистина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всеобхватен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инструментариум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предлагащ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допълнителни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висококачествени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учебни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материали,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финансирани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източници,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добре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разпространени,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координирани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видими.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полезните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взаимодействия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избягва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дублирането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припокриването,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увеличи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максимално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ресурси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ETP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разполага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готови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материали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индивидуално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разпространители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допълнително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адаптирани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контекст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нужди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потенциално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подкрепят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оперативната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съвместимост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платформи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обучение.</w:t>
      </w:r>
    </w:p>
    <w:p w14:paraId="08F0408C" w14:textId="12D21070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табло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рамките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ЕТП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спомогне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систематичното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наблюдение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покаже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своите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задължения,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свързани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2B431A">
        <w:rPr>
          <w:rStyle w:val="ab"/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footnoteReference w:id="65"/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създали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благоприятна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цифровизация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насърчили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най-добрите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произтичащи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успешни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примери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равнище.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Статистическите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събирани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табло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ограничени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основни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показатели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събират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съответствие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ясни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стандарти,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позволяват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съпоставимост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източници.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Данните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събират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редовни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интервали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време.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Освен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ще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служат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измерване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напредъка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необходимите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действия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групи,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акцент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преход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ЕС.</w:t>
      </w:r>
    </w:p>
    <w:p w14:paraId="03E8E92B" w14:textId="79304556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Форум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обединяващ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широк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кръг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заинтересовани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могъл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послужи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допълнителна,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ориентирана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резултатите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мярка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постигането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съсредоточи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върху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общуването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ангажираността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заинтересованите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страни.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форум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могъл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има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преодоляване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пропуските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групи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географските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райони.</w:t>
      </w:r>
    </w:p>
    <w:p w14:paraId="1945D3D7" w14:textId="01B1E44E" w:rsidR="00B00465" w:rsidRP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Важно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европейското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практически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методи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помогне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адаптират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към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по-цифровата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среда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възприемат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Присъственото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съществено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допълнено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дистанционно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подготви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проследи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присъственото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този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начин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задълбочават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ученето.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Допълнителни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биха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реализирани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засилване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обмена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най-добри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организиране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обмен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могъл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самото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помогне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специалистите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промени,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генерират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интерактивни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симулации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сценарии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практикуване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развиване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Други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цифрови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виртуалната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реалност,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биха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могли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когато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целесъобразно,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отговори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стилове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потребности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учене.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достъпно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практикуващи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юристи,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работещи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изолирани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отдалечени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райони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държавите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членки.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Сертифицирането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съвместимо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различните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юрисдикции,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методиките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също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избягват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припокриване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дублиране.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Устойчивостта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гарантира,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възможност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редовно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актуализиране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учебното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съдържание.</w:t>
      </w:r>
    </w:p>
    <w:p w14:paraId="26DCA1F2" w14:textId="7A7445B3" w:rsidR="00B00465" w:rsidRDefault="00B00465" w:rsidP="00662AAD">
      <w:pPr>
        <w:shd w:val="clear" w:color="auto" w:fill="FFFFFF"/>
        <w:spacing w:after="0" w:line="240" w:lineRule="auto"/>
        <w:ind w:firstLine="468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</w:pP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Актуалната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оценка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превърне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стандарт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предварително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условие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получаване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подкрепа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Доставчиците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подходящи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методи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оценка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вида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предоставяното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измерват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само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обхвата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дейностите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тяхното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дългосрочно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въздействие.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тази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цел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редица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инструменти,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включително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по-систематично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Информационното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табло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ЕС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областта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правосъдието,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ефикасността,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качеството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независимостта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националните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правосъдни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системи.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Оценката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следва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последвана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конкретни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мерки,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например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докладване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успешни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примери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извършване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партньорски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проверки,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провери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резултатите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обучението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били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приложени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работното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място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организацията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участниците.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Всички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дейности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оценка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в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крайна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сметка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трябва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бъдат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ефективни,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науката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изпълнението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прилагат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методи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стратегии,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чрез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които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да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се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наблюдава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ученето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било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използвано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професионално,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т.е.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как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преодоляна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разликата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между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теоретични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знания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умения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на</w:t>
      </w:r>
      <w:r w:rsidR="00662AA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bg-BG"/>
        </w:rPr>
        <w:t>практика.</w:t>
      </w:r>
    </w:p>
    <w:sectPr w:rsidR="00B00465" w:rsidSect="00662AA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8D110" w14:textId="77777777" w:rsidR="00662AAD" w:rsidRDefault="00662AAD" w:rsidP="00662AAD">
      <w:pPr>
        <w:spacing w:after="0" w:line="240" w:lineRule="auto"/>
      </w:pPr>
      <w:r>
        <w:separator/>
      </w:r>
    </w:p>
  </w:endnote>
  <w:endnote w:type="continuationSeparator" w:id="0">
    <w:p w14:paraId="64A1ADE7" w14:textId="77777777" w:rsidR="00662AAD" w:rsidRDefault="00662AAD" w:rsidP="0066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2DBC" w14:textId="77777777" w:rsidR="00662AAD" w:rsidRDefault="00662AAD" w:rsidP="00662AAD">
      <w:pPr>
        <w:spacing w:after="0" w:line="240" w:lineRule="auto"/>
      </w:pPr>
      <w:r>
        <w:separator/>
      </w:r>
    </w:p>
  </w:footnote>
  <w:footnote w:type="continuationSeparator" w:id="0">
    <w:p w14:paraId="61201BB8" w14:textId="77777777" w:rsidR="00662AAD" w:rsidRDefault="00662AAD" w:rsidP="00662AAD">
      <w:pPr>
        <w:spacing w:after="0" w:line="240" w:lineRule="auto"/>
      </w:pPr>
      <w:r>
        <w:continuationSeparator/>
      </w:r>
    </w:p>
  </w:footnote>
  <w:footnote w:id="1">
    <w:p w14:paraId="18F95387" w14:textId="1822016C" w:rsidR="00662AAD" w:rsidRDefault="00662AAD" w:rsidP="00662AAD">
      <w:pPr>
        <w:pStyle w:val="a9"/>
      </w:pPr>
      <w:r>
        <w:rPr>
          <w:rStyle w:val="ab"/>
        </w:rPr>
        <w:footnoteRef/>
      </w:r>
      <w:r>
        <w:t xml:space="preserve"> </w:t>
      </w:r>
      <w:r>
        <w:t xml:space="preserve">Настоящата стратегия се основава на предишни стратегии. Важно е специалистите в областта на правосъдието да бъдат обучени в съществуващите достижения на правото , за да се гарантира ефективното прилагане на законодателството на ЕС в областта на гражданското и наказателното правосъдие и практическото прилагане на основните права. Тази стратегия се основава на данни от Информационното табло на ЕС в областта на правосъдието, докладите за съдебното обучение и прегледа на резултатите от съдебното обучение за периода 2021—2024 г., представени в придружаващия работен документ на службите на Комисията. Тя се основава на оценки на нуждите, извършени със съответните заинтересовани страни, включително по време на проведените през </w:t>
      </w:r>
      <w:hyperlink r:id="rId1" w:history="1">
        <w:r w:rsidR="002B431A" w:rsidRPr="002B431A">
          <w:rPr>
            <w:rStyle w:val="a3"/>
          </w:rPr>
          <w:t>2023 г.</w:t>
        </w:r>
      </w:hyperlink>
      <w:r w:rsidR="002B431A" w:rsidRPr="002B431A">
        <w:t> и </w:t>
      </w:r>
      <w:hyperlink r:id="rId2" w:history="1">
        <w:r w:rsidR="002B431A" w:rsidRPr="002B431A">
          <w:rPr>
            <w:rStyle w:val="a3"/>
          </w:rPr>
          <w:t>2024 г.</w:t>
        </w:r>
      </w:hyperlink>
      <w:r>
        <w:t xml:space="preserve"> от Комисията конференции по въпросите на съдебното обучение.</w:t>
      </w:r>
    </w:p>
  </w:footnote>
  <w:footnote w:id="2">
    <w:p w14:paraId="5CF555EA" w14:textId="45838418" w:rsidR="00662AAD" w:rsidRDefault="00662AAD" w:rsidP="00662AAD">
      <w:pPr>
        <w:pStyle w:val="a9"/>
      </w:pPr>
      <w:r>
        <w:rPr>
          <w:rStyle w:val="ab"/>
        </w:rPr>
        <w:footnoteRef/>
      </w:r>
      <w:r>
        <w:t xml:space="preserve"> </w:t>
      </w:r>
      <w:r>
        <w:t xml:space="preserve">Бъдещето на европейската конкурентоспособност: </w:t>
      </w:r>
      <w:hyperlink r:id="rId3" w:history="1">
        <w:r w:rsidR="002B431A" w:rsidRPr="002B431A">
          <w:rPr>
            <w:rStyle w:val="a3"/>
          </w:rPr>
          <w:t>Доклад на Марио Драги</w:t>
        </w:r>
      </w:hyperlink>
      <w:r>
        <w:t>, стр. 67.</w:t>
      </w:r>
    </w:p>
  </w:footnote>
  <w:footnote w:id="3">
    <w:p w14:paraId="31ADFB16" w14:textId="60B89E62" w:rsidR="00662AAD" w:rsidRDefault="00662AAD" w:rsidP="00662AAD">
      <w:pPr>
        <w:pStyle w:val="a9"/>
      </w:pPr>
      <w:r>
        <w:rPr>
          <w:rStyle w:val="ab"/>
        </w:rPr>
        <w:footnoteRef/>
      </w:r>
      <w:r>
        <w:t xml:space="preserve"> </w:t>
      </w:r>
      <w:r>
        <w:t xml:space="preserve">COM(2025) 30 — </w:t>
      </w:r>
      <w:hyperlink r:id="rId4" w:history="1">
        <w:r w:rsidR="002B431A" w:rsidRPr="002B431A">
          <w:rPr>
            <w:rStyle w:val="a3"/>
          </w:rPr>
          <w:t>Компас за конкурентоспособността на ЕС</w:t>
        </w:r>
      </w:hyperlink>
      <w:r>
        <w:t>, стр. 7.</w:t>
      </w:r>
    </w:p>
  </w:footnote>
  <w:footnote w:id="4">
    <w:p w14:paraId="71563C92" w14:textId="11B967A9" w:rsidR="00662AAD" w:rsidRDefault="00662AAD" w:rsidP="00662AAD">
      <w:pPr>
        <w:pStyle w:val="a9"/>
      </w:pPr>
      <w:r>
        <w:rPr>
          <w:rStyle w:val="ab"/>
        </w:rPr>
        <w:footnoteRef/>
      </w:r>
      <w:r>
        <w:t xml:space="preserve"> </w:t>
      </w:r>
      <w:r>
        <w:t>Декларация от Будапеща (838/24) на Европейския съвет относно новия пакт за европейската конкурентоспособност, стр. 1.</w:t>
      </w:r>
    </w:p>
  </w:footnote>
  <w:footnote w:id="5">
    <w:p w14:paraId="39833CFF" w14:textId="5FBD49FF" w:rsidR="00662AAD" w:rsidRDefault="00662AAD" w:rsidP="00662AAD">
      <w:pPr>
        <w:pStyle w:val="a9"/>
      </w:pPr>
      <w:r>
        <w:rPr>
          <w:rStyle w:val="ab"/>
        </w:rPr>
        <w:footnoteRef/>
      </w:r>
      <w:r>
        <w:t xml:space="preserve"> </w:t>
      </w:r>
      <w:r>
        <w:t xml:space="preserve">„Изборът на Европа“ — </w:t>
      </w:r>
      <w:hyperlink r:id="rId5" w:history="1">
        <w:r w:rsidR="002B431A" w:rsidRPr="002B431A">
          <w:rPr>
            <w:rStyle w:val="a3"/>
          </w:rPr>
          <w:t>Политически насоки за следващата Европейска комисия (2024</w:t>
        </w:r>
        <w:r w:rsidR="002B431A">
          <w:rPr>
            <w:rStyle w:val="a3"/>
          </w:rPr>
          <w:t xml:space="preserve"> </w:t>
        </w:r>
        <w:r w:rsidR="002B431A" w:rsidRPr="002B431A">
          <w:rPr>
            <w:rStyle w:val="a3"/>
          </w:rPr>
          <w:t>г.</w:t>
        </w:r>
        <w:r w:rsidR="002B431A">
          <w:rPr>
            <w:rStyle w:val="a3"/>
          </w:rPr>
          <w:t>-</w:t>
        </w:r>
        <w:r w:rsidR="002B431A" w:rsidRPr="002B431A">
          <w:rPr>
            <w:rStyle w:val="a3"/>
          </w:rPr>
          <w:t>2029</w:t>
        </w:r>
        <w:r w:rsidR="002B431A">
          <w:rPr>
            <w:rStyle w:val="a3"/>
          </w:rPr>
          <w:t xml:space="preserve"> </w:t>
        </w:r>
        <w:r w:rsidR="002B431A" w:rsidRPr="002B431A">
          <w:rPr>
            <w:rStyle w:val="a3"/>
          </w:rPr>
          <w:t>г.)</w:t>
        </w:r>
      </w:hyperlink>
      <w:r>
        <w:t>, стр. 6.</w:t>
      </w:r>
    </w:p>
  </w:footnote>
  <w:footnote w:id="6">
    <w:p w14:paraId="7E260BA9" w14:textId="628E3BD9" w:rsidR="00662AAD" w:rsidRDefault="00662AAD" w:rsidP="00662AAD">
      <w:pPr>
        <w:pStyle w:val="a9"/>
      </w:pPr>
      <w:r>
        <w:rPr>
          <w:rStyle w:val="ab"/>
        </w:rPr>
        <w:footnoteRef/>
      </w:r>
      <w:r>
        <w:t xml:space="preserve"> </w:t>
      </w:r>
      <w:r>
        <w:t>COM(2025)801 – стратегия „Цифрово правосъдие@2030“.</w:t>
      </w:r>
    </w:p>
  </w:footnote>
  <w:footnote w:id="7">
    <w:p w14:paraId="7652175C" w14:textId="111E4C16" w:rsidR="00662AAD" w:rsidRDefault="00662AAD">
      <w:pPr>
        <w:pStyle w:val="a9"/>
      </w:pPr>
      <w:r>
        <w:rPr>
          <w:rStyle w:val="ab"/>
        </w:rPr>
        <w:footnoteRef/>
      </w:r>
      <w:r>
        <w:t xml:space="preserve"> </w:t>
      </w:r>
      <w:r>
        <w:t>Заключения на Европейската комисия и полското председателство в официалния протокол от експертната среща по време на полското председателство на Съвета на Европейския съюз във Варшава — Нови предизвикателства пред развитието на ИИ и електронната комуникация в областта на правосъдието (19—20 май 2025 г.).</w:t>
      </w:r>
    </w:p>
  </w:footnote>
  <w:footnote w:id="8">
    <w:p w14:paraId="0BB3A796" w14:textId="1493B11B" w:rsidR="002B431A" w:rsidRPr="002B431A" w:rsidRDefault="00662AAD" w:rsidP="002B431A">
      <w:pPr>
        <w:shd w:val="clear" w:color="auto" w:fill="FFFFFF"/>
        <w:spacing w:after="0" w:line="240" w:lineRule="auto"/>
        <w:ind w:left="426" w:hanging="426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bg-BG"/>
        </w:rPr>
      </w:pPr>
      <w:r>
        <w:rPr>
          <w:rStyle w:val="ab"/>
        </w:rPr>
        <w:footnoteRef/>
      </w:r>
      <w:r>
        <w:t xml:space="preserve"> </w:t>
      </w:r>
      <w:r w:rsidRPr="00B00465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>Бъдещето</w:t>
      </w:r>
      <w:r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>на</w:t>
      </w:r>
      <w:r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>европейската</w:t>
      </w:r>
      <w:r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>конкурентоспособност:</w:t>
      </w:r>
      <w:r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 xml:space="preserve"> </w:t>
      </w:r>
      <w:hyperlink r:id="rId6" w:history="1">
        <w:r w:rsidRPr="002B431A">
          <w:rPr>
            <w:rStyle w:val="a3"/>
          </w:rPr>
          <w:t>Доклад на Марио Драги</w:t>
        </w:r>
      </w:hyperlink>
      <w:r w:rsidR="002B431A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 xml:space="preserve">, </w:t>
      </w:r>
      <w:r w:rsidRPr="00B00465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>стр.</w:t>
      </w:r>
      <w:r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 xml:space="preserve"> </w:t>
      </w:r>
      <w:r w:rsidRPr="00B00465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bg-BG"/>
        </w:rPr>
        <w:t>36—37.</w:t>
      </w:r>
    </w:p>
  </w:footnote>
  <w:footnote w:id="9">
    <w:p w14:paraId="5835494C" w14:textId="5BABE535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hyperlink r:id="rId7" w:history="1">
        <w:r w:rsidRPr="002B431A">
          <w:rPr>
            <w:rStyle w:val="a3"/>
          </w:rPr>
          <w:t xml:space="preserve">Доклад </w:t>
        </w:r>
        <w:proofErr w:type="spellStart"/>
        <w:r w:rsidRPr="002B431A">
          <w:rPr>
            <w:rStyle w:val="a3"/>
          </w:rPr>
          <w:t>Much</w:t>
        </w:r>
        <w:proofErr w:type="spellEnd"/>
        <w:r w:rsidRPr="002B431A">
          <w:rPr>
            <w:rStyle w:val="a3"/>
          </w:rPr>
          <w:t xml:space="preserve"> more </w:t>
        </w:r>
        <w:proofErr w:type="spellStart"/>
        <w:r w:rsidRPr="002B431A">
          <w:rPr>
            <w:rStyle w:val="a3"/>
          </w:rPr>
          <w:t>than</w:t>
        </w:r>
        <w:proofErr w:type="spellEnd"/>
        <w:r w:rsidRPr="002B431A">
          <w:rPr>
            <w:rStyle w:val="a3"/>
          </w:rPr>
          <w:t xml:space="preserve"> a </w:t>
        </w:r>
        <w:proofErr w:type="spellStart"/>
        <w:r w:rsidRPr="002B431A">
          <w:rPr>
            <w:rStyle w:val="a3"/>
          </w:rPr>
          <w:t>market</w:t>
        </w:r>
        <w:proofErr w:type="spellEnd"/>
        <w:r w:rsidRPr="002B431A">
          <w:rPr>
            <w:rStyle w:val="a3"/>
          </w:rPr>
          <w:t xml:space="preserve"> („Много повече от пазар“)</w:t>
        </w:r>
      </w:hyperlink>
      <w:r w:rsidRPr="002B431A">
        <w:t xml:space="preserve"> , стр. 47, 21—22.</w:t>
      </w:r>
    </w:p>
  </w:footnote>
  <w:footnote w:id="10">
    <w:p w14:paraId="376CD37E" w14:textId="0DA805FB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hyperlink r:id="rId8" w:history="1">
        <w:proofErr w:type="spellStart"/>
        <w:r w:rsidRPr="002B431A">
          <w:rPr>
            <w:rStyle w:val="a3"/>
          </w:rPr>
          <w:t>Safer</w:t>
        </w:r>
        <w:proofErr w:type="spellEnd"/>
        <w:r w:rsidRPr="002B431A">
          <w:rPr>
            <w:rStyle w:val="a3"/>
          </w:rPr>
          <w:t xml:space="preserve"> </w:t>
        </w:r>
        <w:proofErr w:type="spellStart"/>
        <w:r w:rsidRPr="002B431A">
          <w:rPr>
            <w:rStyle w:val="a3"/>
          </w:rPr>
          <w:t>Together</w:t>
        </w:r>
        <w:proofErr w:type="spellEnd"/>
        <w:r w:rsidRPr="002B431A">
          <w:rPr>
            <w:rStyle w:val="a3"/>
          </w:rPr>
          <w:t xml:space="preserve"> — </w:t>
        </w:r>
        <w:proofErr w:type="spellStart"/>
        <w:r w:rsidRPr="002B431A">
          <w:rPr>
            <w:rStyle w:val="a3"/>
          </w:rPr>
          <w:t>Strengthening</w:t>
        </w:r>
        <w:proofErr w:type="spellEnd"/>
        <w:r w:rsidRPr="002B431A">
          <w:rPr>
            <w:rStyle w:val="a3"/>
          </w:rPr>
          <w:t xml:space="preserve"> </w:t>
        </w:r>
        <w:proofErr w:type="spellStart"/>
        <w:r w:rsidRPr="002B431A">
          <w:rPr>
            <w:rStyle w:val="a3"/>
          </w:rPr>
          <w:t>Europe’s</w:t>
        </w:r>
        <w:proofErr w:type="spellEnd"/>
        <w:r w:rsidRPr="002B431A">
          <w:rPr>
            <w:rStyle w:val="a3"/>
          </w:rPr>
          <w:t xml:space="preserve"> </w:t>
        </w:r>
        <w:proofErr w:type="spellStart"/>
        <w:r w:rsidRPr="002B431A">
          <w:rPr>
            <w:rStyle w:val="a3"/>
          </w:rPr>
          <w:t>Civilian</w:t>
        </w:r>
        <w:proofErr w:type="spellEnd"/>
        <w:r w:rsidRPr="002B431A">
          <w:rPr>
            <w:rStyle w:val="a3"/>
          </w:rPr>
          <w:t xml:space="preserve"> </w:t>
        </w:r>
        <w:proofErr w:type="spellStart"/>
        <w:r w:rsidRPr="002B431A">
          <w:rPr>
            <w:rStyle w:val="a3"/>
          </w:rPr>
          <w:t>and</w:t>
        </w:r>
        <w:proofErr w:type="spellEnd"/>
        <w:r w:rsidRPr="002B431A">
          <w:rPr>
            <w:rStyle w:val="a3"/>
          </w:rPr>
          <w:t xml:space="preserve"> </w:t>
        </w:r>
        <w:proofErr w:type="spellStart"/>
        <w:r w:rsidRPr="002B431A">
          <w:rPr>
            <w:rStyle w:val="a3"/>
          </w:rPr>
          <w:t>Military</w:t>
        </w:r>
        <w:proofErr w:type="spellEnd"/>
        <w:r w:rsidRPr="002B431A">
          <w:rPr>
            <w:rStyle w:val="a3"/>
          </w:rPr>
          <w:t xml:space="preserve"> </w:t>
        </w:r>
        <w:proofErr w:type="spellStart"/>
        <w:r w:rsidRPr="002B431A">
          <w:rPr>
            <w:rStyle w:val="a3"/>
          </w:rPr>
          <w:t>Preparedness</w:t>
        </w:r>
        <w:proofErr w:type="spellEnd"/>
        <w:r w:rsidRPr="002B431A">
          <w:rPr>
            <w:rStyle w:val="a3"/>
          </w:rPr>
          <w:t xml:space="preserve"> </w:t>
        </w:r>
        <w:proofErr w:type="spellStart"/>
        <w:r w:rsidRPr="002B431A">
          <w:rPr>
            <w:rStyle w:val="a3"/>
          </w:rPr>
          <w:t>and</w:t>
        </w:r>
        <w:proofErr w:type="spellEnd"/>
        <w:r w:rsidRPr="002B431A">
          <w:rPr>
            <w:rStyle w:val="a3"/>
          </w:rPr>
          <w:t xml:space="preserve"> </w:t>
        </w:r>
        <w:proofErr w:type="spellStart"/>
        <w:r w:rsidRPr="002B431A">
          <w:rPr>
            <w:rStyle w:val="a3"/>
          </w:rPr>
          <w:t>Readines</w:t>
        </w:r>
        <w:proofErr w:type="spellEnd"/>
        <w:r w:rsidRPr="002B431A">
          <w:rPr>
            <w:rStyle w:val="a3"/>
          </w:rPr>
          <w:t xml:space="preserve"> („Заедно в по-голяма безопасност – укрепване на гражданската и военната готовност и подготвеност на Европа“)</w:t>
        </w:r>
      </w:hyperlink>
      <w:r w:rsidRPr="002B431A">
        <w:t>, стр. 78.</w:t>
      </w:r>
    </w:p>
  </w:footnote>
  <w:footnote w:id="11">
    <w:p w14:paraId="61DBEB7F" w14:textId="473031FE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hyperlink r:id="rId9" w:history="1">
        <w:r w:rsidRPr="002B431A">
          <w:rPr>
            <w:rStyle w:val="a3"/>
          </w:rPr>
          <w:t>Европейска стратегия за електронното правосъдие за периода 2024 – 2028 г.</w:t>
        </w:r>
      </w:hyperlink>
      <w:r w:rsidRPr="002B431A">
        <w:t xml:space="preserve"> (C/2025/437), т. 52.</w:t>
      </w:r>
    </w:p>
  </w:footnote>
  <w:footnote w:id="12">
    <w:p w14:paraId="3E775B38" w14:textId="3E50079D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hyperlink r:id="rId10" w:history="1">
        <w:r w:rsidRPr="002B431A">
          <w:rPr>
            <w:rStyle w:val="a3"/>
          </w:rPr>
          <w:t>Бъдещето на европейската конкурентоспособност:</w:t>
        </w:r>
      </w:hyperlink>
      <w:r w:rsidRPr="002B431A">
        <w:t xml:space="preserve"> </w:t>
      </w:r>
      <w:hyperlink r:id="rId11" w:history="1">
        <w:r w:rsidRPr="002B431A">
          <w:rPr>
            <w:rStyle w:val="a3"/>
          </w:rPr>
          <w:t>Доклад на Марио Драги</w:t>
        </w:r>
      </w:hyperlink>
      <w:r w:rsidRPr="002B431A">
        <w:t xml:space="preserve"> , стр. 36—37.</w:t>
      </w:r>
    </w:p>
  </w:footnote>
  <w:footnote w:id="13">
    <w:p w14:paraId="06125F04" w14:textId="656F43A0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hyperlink r:id="rId12" w:history="1">
        <w:r w:rsidRPr="002B431A">
          <w:rPr>
            <w:rStyle w:val="a3"/>
          </w:rPr>
          <w:t>Заключения на Съвета относно използването на изкуствен интелект в областта на правосъдието</w:t>
        </w:r>
      </w:hyperlink>
      <w:r w:rsidRPr="002B431A">
        <w:t xml:space="preserve"> (16593/24), т. 19.</w:t>
      </w:r>
    </w:p>
  </w:footnote>
  <w:footnote w:id="14">
    <w:p w14:paraId="197CCED3" w14:textId="60A06B43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 xml:space="preserve">Бъдещето на европейската конкурентоспособност: </w:t>
      </w:r>
      <w:hyperlink r:id="rId13" w:history="1">
        <w:r w:rsidRPr="002B431A">
          <w:rPr>
            <w:rStyle w:val="a3"/>
          </w:rPr>
          <w:t>Доклад на Марио Драги</w:t>
        </w:r>
      </w:hyperlink>
      <w:r w:rsidRPr="002B431A">
        <w:t xml:space="preserve"> , стр. 36—37.</w:t>
      </w:r>
    </w:p>
  </w:footnote>
  <w:footnote w:id="15">
    <w:p w14:paraId="713BED4D" w14:textId="27C29DF3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hyperlink r:id="rId14" w:history="1">
        <w:r w:rsidRPr="002B431A">
          <w:rPr>
            <w:rStyle w:val="a3"/>
          </w:rPr>
          <w:t xml:space="preserve">COM(2025) 90 </w:t>
        </w:r>
        <w:proofErr w:type="spellStart"/>
        <w:r w:rsidRPr="002B431A">
          <w:rPr>
            <w:rStyle w:val="a3"/>
          </w:rPr>
          <w:t>final</w:t>
        </w:r>
        <w:proofErr w:type="spellEnd"/>
        <w:r w:rsidRPr="002B431A">
          <w:rPr>
            <w:rStyle w:val="a3"/>
          </w:rPr>
          <w:t xml:space="preserve"> — Съобщение на Комисията: Съюз на уменията</w:t>
        </w:r>
      </w:hyperlink>
      <w:r w:rsidRPr="002B431A">
        <w:t xml:space="preserve"> стр. 4.</w:t>
      </w:r>
    </w:p>
    <w:p w14:paraId="10FE6D04" w14:textId="71907343" w:rsidR="002B431A" w:rsidRDefault="002B431A" w:rsidP="002B431A">
      <w:pPr>
        <w:pStyle w:val="a9"/>
      </w:pPr>
    </w:p>
  </w:footnote>
  <w:footnote w:id="16">
    <w:p w14:paraId="3E1C250A" w14:textId="29FF2D0F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hyperlink r:id="rId15" w:history="1">
        <w:r w:rsidRPr="002B431A">
          <w:rPr>
            <w:rStyle w:val="a3"/>
          </w:rPr>
          <w:t xml:space="preserve">COM(2022) 28 </w:t>
        </w:r>
        <w:proofErr w:type="spellStart"/>
        <w:r w:rsidRPr="002B431A">
          <w:rPr>
            <w:rStyle w:val="a3"/>
          </w:rPr>
          <w:t>final</w:t>
        </w:r>
        <w:proofErr w:type="spellEnd"/>
        <w:r w:rsidRPr="002B431A">
          <w:rPr>
            <w:rStyle w:val="a3"/>
          </w:rPr>
          <w:t xml:space="preserve"> — Европейска декларация относно цифровите права и принципи за цифровото десетилетие</w:t>
        </w:r>
      </w:hyperlink>
      <w:r w:rsidRPr="002B431A">
        <w:t xml:space="preserve"> , стр. 3.</w:t>
      </w:r>
    </w:p>
  </w:footnote>
  <w:footnote w:id="17">
    <w:p w14:paraId="7ACC57C8" w14:textId="788E75EC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 xml:space="preserve">Цифровизацията на обществените услуги през </w:t>
      </w:r>
      <w:hyperlink r:id="rId16" w:history="1">
        <w:r w:rsidRPr="002B431A">
          <w:rPr>
            <w:rStyle w:val="a3"/>
          </w:rPr>
          <w:t>цифровото десетилетие на Европа:</w:t>
        </w:r>
      </w:hyperlink>
      <w:r w:rsidRPr="002B431A">
        <w:t xml:space="preserve"> </w:t>
      </w:r>
      <w:hyperlink r:id="rId17" w:history="1">
        <w:r w:rsidRPr="002B431A">
          <w:rPr>
            <w:rStyle w:val="a3"/>
          </w:rPr>
          <w:t>Цели за 2030 г. |</w:t>
        </w:r>
      </w:hyperlink>
      <w:r w:rsidRPr="002B431A">
        <w:t xml:space="preserve"> </w:t>
      </w:r>
      <w:hyperlink r:id="rId18" w:history="1">
        <w:r w:rsidRPr="002B431A">
          <w:rPr>
            <w:rStyle w:val="a3"/>
          </w:rPr>
          <w:t>Европейска комисия</w:t>
        </w:r>
      </w:hyperlink>
      <w:r w:rsidRPr="002B431A">
        <w:t xml:space="preserve"> , стр. 4.</w:t>
      </w:r>
    </w:p>
  </w:footnote>
  <w:footnote w:id="18">
    <w:p w14:paraId="609D69FD" w14:textId="78066119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 xml:space="preserve">COM/2023/667final, </w:t>
      </w:r>
      <w:hyperlink r:id="rId19" w:history="1">
        <w:r w:rsidRPr="002B431A">
          <w:rPr>
            <w:rStyle w:val="a3"/>
          </w:rPr>
          <w:t>Укрепване на европейското икономическо пространство (</w:t>
        </w:r>
        <w:proofErr w:type="spellStart"/>
        <w:r w:rsidRPr="002B431A">
          <w:rPr>
            <w:rStyle w:val="a3"/>
          </w:rPr>
          <w:t>ComPAct</w:t>
        </w:r>
        <w:proofErr w:type="spellEnd"/>
        <w:r w:rsidRPr="002B431A">
          <w:rPr>
            <w:rStyle w:val="a3"/>
          </w:rPr>
          <w:t>) — Европейска комисия</w:t>
        </w:r>
      </w:hyperlink>
    </w:p>
  </w:footnote>
  <w:footnote w:id="19">
    <w:p w14:paraId="76BCA6AB" w14:textId="65047564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Заключения на Европейската комисия и полското председателство в официалния протокол от експертната среща по време на полското председателство на Съвета на Европейския съюз във Варшава — Нови предизвикателства пред развитието на ИИ и електронната комуникация в областта на правосъдието (19—20 май 2025 г.).</w:t>
      </w:r>
    </w:p>
  </w:footnote>
  <w:footnote w:id="20">
    <w:p w14:paraId="5AF0EF86" w14:textId="79CB311F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 xml:space="preserve">Регламент (ЕС) 2023/2844 относно цифровизацията на съдебното сътрудничество и на достъпа до правосъдие по трансгранични гражданскоправни, </w:t>
      </w:r>
      <w:proofErr w:type="spellStart"/>
      <w:r w:rsidRPr="002B431A">
        <w:t>търговскоправни</w:t>
      </w:r>
      <w:proofErr w:type="spellEnd"/>
      <w:r w:rsidRPr="002B431A">
        <w:t xml:space="preserve"> и </w:t>
      </w:r>
      <w:proofErr w:type="spellStart"/>
      <w:r w:rsidRPr="002B431A">
        <w:t>наказателноправни</w:t>
      </w:r>
      <w:proofErr w:type="spellEnd"/>
      <w:r w:rsidRPr="002B431A">
        <w:t xml:space="preserve"> въпроси и за изменение на определени актове в областта на съдебното сътрудничество.</w:t>
      </w:r>
    </w:p>
  </w:footnote>
  <w:footnote w:id="21">
    <w:p w14:paraId="154D37DB" w14:textId="061D0870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hyperlink r:id="rId20" w:history="1">
        <w:r w:rsidRPr="002B431A">
          <w:rPr>
            <w:rStyle w:val="a3"/>
          </w:rPr>
          <w:t>Насоки относно електронното завеждане на съдебни искове и цифровизацията на съдилищата</w:t>
        </w:r>
      </w:hyperlink>
      <w:r w:rsidRPr="002B431A">
        <w:t xml:space="preserve"> , CEPEJ (2021)15, Насоки за онлайн публикуване на съдебни решения </w:t>
      </w:r>
      <w:hyperlink r:id="rId21" w:history="1">
        <w:r w:rsidRPr="002B431A">
          <w:rPr>
            <w:rStyle w:val="a3"/>
          </w:rPr>
          <w:t>с цел задълбочаване на правните познания</w:t>
        </w:r>
      </w:hyperlink>
      <w:r w:rsidRPr="002B431A">
        <w:t xml:space="preserve"> CEPEJ(2024)9.</w:t>
      </w:r>
    </w:p>
  </w:footnote>
  <w:footnote w:id="22">
    <w:p w14:paraId="4D5450CE" w14:textId="1AAF98A3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hyperlink r:id="rId22" w:history="1">
        <w:r w:rsidRPr="002B431A">
          <w:rPr>
            <w:rStyle w:val="a3"/>
          </w:rPr>
          <w:t>Портал за оперативно съвместима Европа на Академията за оперативно съвместима Европа</w:t>
        </w:r>
      </w:hyperlink>
      <w:r w:rsidRPr="002B431A">
        <w:t xml:space="preserve"> и </w:t>
      </w:r>
      <w:hyperlink r:id="rId23" w:history="1">
        <w:r w:rsidRPr="002B431A">
          <w:rPr>
            <w:rStyle w:val="a3"/>
          </w:rPr>
          <w:t>Академия за оперативно съвместима Европа на Академията на ЕС</w:t>
        </w:r>
      </w:hyperlink>
    </w:p>
  </w:footnote>
  <w:footnote w:id="23">
    <w:p w14:paraId="403099E6" w14:textId="2243EAB4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 xml:space="preserve">Те отдават приоритет на (наред с другото): събиране и картографиране на съществуващото обучение, разработване на паспорти на основните компетентности и рамки за компетентности за нови умения (цифрови, екологични, иновации и др.), събиране и споделяне на добри практики относно </w:t>
      </w:r>
      <w:proofErr w:type="spellStart"/>
      <w:r w:rsidRPr="002B431A">
        <w:t>GovTech</w:t>
      </w:r>
      <w:proofErr w:type="spellEnd"/>
      <w:r w:rsidRPr="002B431A">
        <w:t xml:space="preserve"> и използването на ИИ, споделяне на стандарти за определяне на модели на данни с цел спазване на Директивата за отворените данни и споделяне на добри практики относно етичните стандарти за ИИ.</w:t>
      </w:r>
    </w:p>
  </w:footnote>
  <w:footnote w:id="24">
    <w:p w14:paraId="6935A76D" w14:textId="76523816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2024/1689 за установяване на хармонизирани правила относно изкуствения интелект.</w:t>
      </w:r>
    </w:p>
  </w:footnote>
  <w:footnote w:id="25">
    <w:p w14:paraId="03B31302" w14:textId="30117B23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2023/2854 относно хармонизирани правила за справедлив достъп до данни и за тяхното използване.</w:t>
      </w:r>
    </w:p>
  </w:footnote>
  <w:footnote w:id="26">
    <w:p w14:paraId="5A245F1F" w14:textId="43F86D81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2024/903 за определяне на мерки за високо ниво на оперативна съвместимост на публичния сектор в целия Съюз</w:t>
      </w:r>
    </w:p>
  </w:footnote>
  <w:footnote w:id="27">
    <w:p w14:paraId="53367876" w14:textId="3455648B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2022/1925 относно достъпни и справедливи пазари в цифровия сектор.</w:t>
      </w:r>
    </w:p>
  </w:footnote>
  <w:footnote w:id="28">
    <w:p w14:paraId="4147F395" w14:textId="657C8AC2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2022/2065 относно единния пазар на цифрови услуги.</w:t>
      </w:r>
    </w:p>
  </w:footnote>
  <w:footnote w:id="29">
    <w:p w14:paraId="66651FD1" w14:textId="502B7206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Директива (ЕС) 2019/770 за някои аспекти на договорите за предоставяне на цифрово съдържание и цифрови услуги.</w:t>
      </w:r>
    </w:p>
  </w:footnote>
  <w:footnote w:id="30">
    <w:p w14:paraId="0E25CBE9" w14:textId="77DE3B23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Директива (ЕС) 2019/771 за някои аспекти на договорите за продажба на стоки.</w:t>
      </w:r>
    </w:p>
  </w:footnote>
  <w:footnote w:id="31">
    <w:p w14:paraId="01A2049D" w14:textId="385C1B30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Директива (ЕС) 2024/2853 относно отговорността за вреди от дефекти на продукти и за отмяна на Директива 85/374/ЕИО на Съвета.</w:t>
      </w:r>
    </w:p>
  </w:footnote>
  <w:footnote w:id="32">
    <w:p w14:paraId="1D90CE20" w14:textId="766E237A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2021/784 относно справянето с разпространението на терористично съдържание онлайн.</w:t>
      </w:r>
    </w:p>
  </w:footnote>
  <w:footnote w:id="33">
    <w:p w14:paraId="1438F725" w14:textId="1112E9E3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2016/679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</w:footnote>
  <w:footnote w:id="34">
    <w:p w14:paraId="6F1C74AC" w14:textId="7C82DEB3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Директива (ЕС) 2016/680 относно защитата на физическите лица във връзка с обработването на лични данни от компетентните органи за целите на предотвратяването, разследването, разкриването или наказателното преследване на престъпления или изпълнението на наказания и относно свободното движение на такива данни, и за отмяна на Рамково решение 2008/977/ПВР на Съвета.</w:t>
      </w:r>
    </w:p>
  </w:footnote>
  <w:footnote w:id="35">
    <w:p w14:paraId="0FCCFF93" w14:textId="4800D547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2018/1725 относно защитата на физическите лица във връзка с обработването на лични данни от институциите, органите, службите и агенциите на Съюза и относно свободното движение на такива данни и за отмяна на Регламент (ЕО) № 45/2001 и Решение № 1247/2002/ЕО.</w:t>
      </w:r>
    </w:p>
  </w:footnote>
  <w:footnote w:id="36">
    <w:p w14:paraId="49D881AA" w14:textId="7BD1614E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Директива (ЕС) 2019/882 за изискванията за достъпност на продукти и услуги и Директива (ЕС) 2016/2102 относно достъпността на уебсайтовете и мобилните приложения на организациите от обществения сектор.</w:t>
      </w:r>
    </w:p>
  </w:footnote>
  <w:footnote w:id="37">
    <w:p w14:paraId="3A57E814" w14:textId="457BE3DB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2020/1783 относно сътрудничеството между съдилища на държавите членки при събирането на доказателства по граждански или търговски дела (събиране на доказателства).</w:t>
      </w:r>
    </w:p>
  </w:footnote>
  <w:footnote w:id="38">
    <w:p w14:paraId="1B0991DC" w14:textId="0CD90D88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2020/1784 относно връчването в държавите членки на съдебни и извънсъдебни документи по граждански или търговски дела.</w:t>
      </w:r>
    </w:p>
  </w:footnote>
  <w:footnote w:id="39">
    <w:p w14:paraId="6004EF48" w14:textId="2A9DEF54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2023/969 за създаване на платформа за сътрудничество за подпомагане на функционирането на съвместните екипи за разследване.</w:t>
      </w:r>
    </w:p>
  </w:footnote>
  <w:footnote w:id="40">
    <w:p w14:paraId="38FA7B37" w14:textId="6D352980" w:rsidR="002B431A" w:rsidRDefault="002B431A" w:rsidP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2023/2131 за изменение на Регламент (ЕС) 2018/1727 на Европейския парламент и на Съвета и на Решение 2005/671/ПВР на Съвета по отношение на цифровия обмен на информация по дела за тероризъм.</w:t>
      </w:r>
    </w:p>
  </w:footnote>
  <w:footnote w:id="41">
    <w:p w14:paraId="6C839E45" w14:textId="3CF37051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2023/1543 относно европейските заповеди за предоставяне и европейските заповеди за запазване на електронни доказателства в рамките на наказателните производства и за изпълнението на наказания лишаване от свобода вследствие на наказателни производства.</w:t>
      </w:r>
    </w:p>
  </w:footnote>
  <w:footnote w:id="42">
    <w:p w14:paraId="73661077" w14:textId="22B9121C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Регламент (ЕС) 2024/3011 относно трансфера на наказателни производства.</w:t>
      </w:r>
    </w:p>
  </w:footnote>
  <w:footnote w:id="43">
    <w:p w14:paraId="2A8FB097" w14:textId="36EA1222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 xml:space="preserve">Вж. констатациите от проучването, проведено от Агенцията на Европейския съюз за основните права (FRA), относно цифровизацията на правосъдието и как тя засяга основните права в доклада </w:t>
      </w:r>
      <w:hyperlink r:id="rId24" w:history="1">
        <w:r w:rsidRPr="002B431A">
          <w:rPr>
            <w:rStyle w:val="a3"/>
          </w:rPr>
          <w:t>„Цифровизиране на правосъдието:</w:t>
        </w:r>
      </w:hyperlink>
      <w:r w:rsidRPr="002B431A">
        <w:t xml:space="preserve"> </w:t>
      </w:r>
      <w:hyperlink r:id="rId25" w:history="1">
        <w:r w:rsidRPr="002B431A">
          <w:rPr>
            <w:rStyle w:val="a3"/>
          </w:rPr>
          <w:t>подход, основан на основните права</w:t>
        </w:r>
      </w:hyperlink>
      <w:r w:rsidRPr="002B431A">
        <w:t>.</w:t>
      </w:r>
    </w:p>
  </w:footnote>
  <w:footnote w:id="44">
    <w:p w14:paraId="6DDB969F" w14:textId="635AF570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Заключения на Европейската комисия и полското председателство в официалния протокол от експертната среща по време на полското председателство на Съвета на Европейския съюз във Варшава — Нови предизвикателства пред развитието на ИИ и електронната комуникация в областта на правосъдието (19—20 май 2025 г.), стр. 19, 21.</w:t>
      </w:r>
    </w:p>
  </w:footnote>
  <w:footnote w:id="45">
    <w:p w14:paraId="4223EEF8" w14:textId="3A3278FB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Харта на основните права на Европейския съюз (ОВ C 326, 26.10.2012 г.).</w:t>
      </w:r>
    </w:p>
  </w:footnote>
  <w:footnote w:id="46">
    <w:p w14:paraId="2266A9C8" w14:textId="0359F12D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COM(2020/711 — Съобщение на Комисията „Стратегия за подобряване на прилагането на Хартата на основните права в ЕС“, стр. 12—13.</w:t>
      </w:r>
    </w:p>
  </w:footnote>
  <w:footnote w:id="47">
    <w:p w14:paraId="2A15F303" w14:textId="20A03118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Директива (ЕС) 2019/1937 относно защитата на лицата, които подават сигнали за нарушения на правото на Съюза.</w:t>
      </w:r>
    </w:p>
  </w:footnote>
  <w:footnote w:id="48">
    <w:p w14:paraId="1A42ABA0" w14:textId="3355BB98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Рамково решение 2008/913/ПВР на Съвета относно борбата с определени форми и прояви на расизъм и ксенофобия посредством наказателното право.</w:t>
      </w:r>
    </w:p>
  </w:footnote>
  <w:footnote w:id="49">
    <w:p w14:paraId="516D2261" w14:textId="2240848E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 xml:space="preserve">Регламент (ЕС) № 1215/2012 относно компетентността, признаването и изпълнението на съдебни решения по граждански и търговски дела (преработен текст); Регламент (ЕС) 2019/1111 на Съвета относно компетентността, признаването и изпълнението на решения по брачни въпроси и въпроси, свързани с родителската отговорност, и относно международното отвличане на деца (преработен текст); Регламент (ЕС) 2020/1784 относно връчването в държавите членки на съдебни и извънсъдебни документи по граждански или търговски дела („връчване на документи“) (преработен текст); Регламент (ЕС) № 650/2012 относно компетентността, приложимото право,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наследство; Директива (ЕС) 2024/1069 на Европейския парламент и на Съвета от 2022 април 2428 година относно защитата на лицата, ангажирани в публично участие, срещу явно неоснователни искове или съдебни производства, с които се злоупотребява („стратегически съдебни производства, насочени срещу публично участие“), заедно с хоризонталната препоръка за борба със стратегическите съдебни производства, насочени срещу участието на обществеността, C(2022)2428 </w:t>
      </w:r>
      <w:proofErr w:type="spellStart"/>
      <w:r w:rsidRPr="002B431A">
        <w:t>final</w:t>
      </w:r>
      <w:proofErr w:type="spellEnd"/>
      <w:r w:rsidRPr="002B431A">
        <w:t>, 27.4.2022 г.</w:t>
      </w:r>
    </w:p>
  </w:footnote>
  <w:footnote w:id="50">
    <w:p w14:paraId="5209B368" w14:textId="1C059A0F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Член 26, второ изречение от Директива (ЕС) 2024/1260 (разпоредба относно обучението): „Без да се засягат независимостта на съдебната власт и различията в нейната организация в Съюза, държавите членки гарантират, че служителите, участващи в установяването, проследяването, възстановяването и конфискацията на активи, имат възможността да участват в специализирано обучение и обмен на най-добри практики“.</w:t>
      </w:r>
    </w:p>
  </w:footnote>
  <w:footnote w:id="51">
    <w:p w14:paraId="5CF85D18" w14:textId="49330C7D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Директива (ЕС) 2024/1226 относно определянето на престъпленията и санкциите, свързани с нарушаване на ограничителните мерки на Съюза.</w:t>
      </w:r>
    </w:p>
  </w:footnote>
  <w:footnote w:id="52">
    <w:p w14:paraId="5E9279F6" w14:textId="3443BC95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Директива (ЕС) 2024/1203 относно защитата на околната среда чрез наказателното право и за замяна на Директива 2008/99/ЕО и 2009/123/ЕО.</w:t>
      </w:r>
    </w:p>
  </w:footnote>
  <w:footnote w:id="53">
    <w:p w14:paraId="51316E26" w14:textId="7F9E0220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 xml:space="preserve">Директива (ЕС) 2017/1371 относно борбата с измамите, засягащи финансовите интереси на Съюза, по </w:t>
      </w:r>
      <w:proofErr w:type="spellStart"/>
      <w:r w:rsidRPr="002B431A">
        <w:t>наказателноправен</w:t>
      </w:r>
      <w:proofErr w:type="spellEnd"/>
      <w:r w:rsidRPr="002B431A">
        <w:t xml:space="preserve"> ред.</w:t>
      </w:r>
    </w:p>
  </w:footnote>
  <w:footnote w:id="54">
    <w:p w14:paraId="64B14AF4" w14:textId="283318A0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Директива (ЕС) 2018/1673 относно борбата с изпирането на пари чрез наказателното право.</w:t>
      </w:r>
    </w:p>
  </w:footnote>
  <w:footnote w:id="55">
    <w:p w14:paraId="63A684D0" w14:textId="61F64D6B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Член 18б от Директива 2011/36/ЕС относно предотвратяването и борбата с трафика на хора и защитата на жертвите от него, изменена с Директива (ЕС) 2024/1712.</w:t>
      </w:r>
    </w:p>
  </w:footnote>
  <w:footnote w:id="56">
    <w:p w14:paraId="269266EF" w14:textId="109FA40A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Директива (ЕС) 2020/1828 относно представителни искове за защита на колективните интереси на потребителите и за отмяна на Директива 2009/22/ЕО.</w:t>
      </w:r>
    </w:p>
  </w:footnote>
  <w:footnote w:id="57">
    <w:p w14:paraId="0CE8ABC7" w14:textId="77DBE8B5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„Съдийска професия“ означава набор от умения и нагласи за уменията на специалист в областта на правосъдието.</w:t>
      </w:r>
    </w:p>
  </w:footnote>
  <w:footnote w:id="58">
    <w:p w14:paraId="2622AEE4" w14:textId="7C62DD97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 xml:space="preserve">Определени като „помощния персонал на съдилищата и трибуналите и прокуратурите, независимо от техния образователен или правен статут“ в </w:t>
      </w:r>
      <w:hyperlink r:id="rId26" w:history="1">
        <w:r w:rsidRPr="002B431A">
          <w:rPr>
            <w:rStyle w:val="a3"/>
          </w:rPr>
          <w:t>Проучването на ЕК относно потребностите от обучение на съдебните служители по право на ЕС в ЕС</w:t>
        </w:r>
      </w:hyperlink>
      <w:r w:rsidRPr="002B431A">
        <w:t xml:space="preserve"> .</w:t>
      </w:r>
    </w:p>
  </w:footnote>
  <w:footnote w:id="59">
    <w:p w14:paraId="21AE0366" w14:textId="61E60CC6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 xml:space="preserve">Вж. например стр. 6 от </w:t>
      </w:r>
      <w:hyperlink r:id="rId27" w:history="1">
        <w:r w:rsidRPr="002B431A">
          <w:rPr>
            <w:rStyle w:val="a3"/>
          </w:rPr>
          <w:t>Стратегията на Съвета за електронно правосъдие</w:t>
        </w:r>
      </w:hyperlink>
      <w:r w:rsidRPr="002B431A">
        <w:t xml:space="preserve"> за периода 2024—2028 г., в която се посочва, че „дейностите за изграждане на капацитет и обучение ще помогнат на ползвателите да се възползват от възможностите, предлагани от цифровата трансформация, като им предоставят ефективни и висококачествени обществени услуги в областта на правосъдието. Следва да се отдели специално внимание на първоначалното и продължаващото обучение, предоставяно на специалистите в областта на правосъдието, като се подпомага развитието на цифрови професионални умения в съответствие с европейските стратегии за съдебно обучение“ или в заключенията на Съвета относно използването на изкуствен интелект в областта на правосъдието, в които Европейската мрежа за съдебно обучение и националните органи или органи, отговарящи за съдебното обучение, се „приканват да вземат предвид необходимостта от обучение и предоставяне на възможности на специалистите в областта на правосъдието да се справят с цифровизацията на правосъдните системи“ и се призовава за „обучение, съсредоточено върху цифровизацията на правосъдието, включително ИИ за специалистите в областта на правосъдието“.</w:t>
      </w:r>
    </w:p>
  </w:footnote>
  <w:footnote w:id="60">
    <w:p w14:paraId="6C7F8A08" w14:textId="17EF7B99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Примери за съответни програми в рамките на настоящата МФР: програма „Единен пазар“, програма LIFE, фонд „Вътрешна сигурност“, програма на Европейския съюз за борба с измамите, програма „Граждани, равенство, права и ценности“, Европейски социален фонд плюс, Инструмент за предприсъединителна помощ III, Инструмент за техническа помощ.</w:t>
      </w:r>
    </w:p>
  </w:footnote>
  <w:footnote w:id="61">
    <w:p w14:paraId="66B8534D" w14:textId="28840070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COM/2025/571 — Предложение за Регламент на Съвета за определяне на многогодишната финансова рамка за годините 2028—2034 г.</w:t>
      </w:r>
    </w:p>
  </w:footnote>
  <w:footnote w:id="62">
    <w:p w14:paraId="62776020" w14:textId="3234CC3C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COM(2025) 570 — Съобщение на комисията. Динамичен бюджет на ЕС за приоритетите на бъдещето — Многогодишната финансова рамка за периода 2028—2034 г., стр. 18.</w:t>
      </w:r>
    </w:p>
  </w:footnote>
  <w:footnote w:id="63">
    <w:p w14:paraId="153C2348" w14:textId="5A0D8121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COM(2025) 565 — Предложение за Регламент на Европейския парламент и на Съвета за създаване за периода 2028—2034 г. на Европейски фонд за икономическо, социално и териториално сближаване, за селското стопанство и селските райони, за рибарството и морското дело и за просперитета и сигурността, съображение 20 и член 3, параграф 1, буква д), точка ІІ).</w:t>
      </w:r>
    </w:p>
  </w:footnote>
  <w:footnote w:id="64">
    <w:p w14:paraId="62793809" w14:textId="7F0FCD1E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COM(2025) 570 — Съобщение на комисията. Динамичен бюджет на ЕС за приоритетите на бъдещето — Многогодишната финансова рамка за периода 2028—2034 г., стр. 24.</w:t>
      </w:r>
    </w:p>
  </w:footnote>
  <w:footnote w:id="65">
    <w:p w14:paraId="1FCD4DF7" w14:textId="59E893D7" w:rsidR="002B431A" w:rsidRDefault="002B431A">
      <w:pPr>
        <w:pStyle w:val="a9"/>
      </w:pPr>
      <w:r>
        <w:rPr>
          <w:rStyle w:val="ab"/>
        </w:rPr>
        <w:footnoteRef/>
      </w:r>
      <w:r>
        <w:t xml:space="preserve"> </w:t>
      </w:r>
      <w:r w:rsidRPr="002B431A">
        <w:t>Член 4 от Акта за ИИ и член 11 от Регламент (ЕС) 2023/2844.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7264A"/>
    <w:multiLevelType w:val="hybridMultilevel"/>
    <w:tmpl w:val="5CBAE68A"/>
    <w:lvl w:ilvl="0" w:tplc="0402000F">
      <w:start w:val="1"/>
      <w:numFmt w:val="decimal"/>
      <w:lvlText w:val="%1."/>
      <w:lvlJc w:val="left"/>
      <w:pPr>
        <w:ind w:left="1188" w:hanging="360"/>
      </w:p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785232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65"/>
    <w:rsid w:val="002B431A"/>
    <w:rsid w:val="00486319"/>
    <w:rsid w:val="00662AAD"/>
    <w:rsid w:val="00807414"/>
    <w:rsid w:val="00A23C36"/>
    <w:rsid w:val="00B00465"/>
    <w:rsid w:val="00C0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A06A2"/>
  <w15:chartTrackingRefBased/>
  <w15:docId w15:val="{9B7B39B9-DA6D-4B57-B39C-CB55C14B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B00465"/>
  </w:style>
  <w:style w:type="paragraph" w:customStyle="1" w:styleId="msonormal0">
    <w:name w:val="msonormal"/>
    <w:basedOn w:val="a"/>
    <w:rsid w:val="00B0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logo">
    <w:name w:val="logo"/>
    <w:basedOn w:val="a"/>
    <w:rsid w:val="00B0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emission">
    <w:name w:val="emission"/>
    <w:basedOn w:val="a"/>
    <w:rsid w:val="00B0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frenceinstitutionnelle">
    <w:name w:val="rfrenceinstitutionnelle"/>
    <w:basedOn w:val="a"/>
    <w:rsid w:val="00B0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pmarking">
    <w:name w:val="cpmarking"/>
    <w:basedOn w:val="a"/>
    <w:rsid w:val="00B0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ypedudocumentcp">
    <w:name w:val="typedudocument_cp"/>
    <w:basedOn w:val="a"/>
    <w:rsid w:val="00B0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reobjetcp">
    <w:name w:val="titreobjet_cp"/>
    <w:basedOn w:val="a"/>
    <w:rsid w:val="00B0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li">
    <w:name w:val="li"/>
    <w:basedOn w:val="a"/>
    <w:rsid w:val="00B0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um">
    <w:name w:val="num"/>
    <w:basedOn w:val="a0"/>
    <w:rsid w:val="00B00465"/>
  </w:style>
  <w:style w:type="character" w:customStyle="1" w:styleId="footnotereference">
    <w:name w:val="footnotereference"/>
    <w:basedOn w:val="a0"/>
    <w:rsid w:val="00B00465"/>
  </w:style>
  <w:style w:type="character" w:styleId="a3">
    <w:name w:val="Hyperlink"/>
    <w:basedOn w:val="a0"/>
    <w:uiPriority w:val="99"/>
    <w:unhideWhenUsed/>
    <w:rsid w:val="00B004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0465"/>
    <w:rPr>
      <w:color w:val="800080"/>
      <w:u w:val="single"/>
    </w:rPr>
  </w:style>
  <w:style w:type="paragraph" w:customStyle="1" w:styleId="listparagraph">
    <w:name w:val="listparagraph"/>
    <w:basedOn w:val="a"/>
    <w:rsid w:val="00B0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1">
    <w:name w:val="Normal1"/>
    <w:basedOn w:val="a"/>
    <w:rsid w:val="00B0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yperlink1">
    <w:name w:val="Hyperlink1"/>
    <w:basedOn w:val="a0"/>
    <w:rsid w:val="00B00465"/>
  </w:style>
  <w:style w:type="character" w:customStyle="1" w:styleId="tab">
    <w:name w:val="tab"/>
    <w:basedOn w:val="a0"/>
    <w:rsid w:val="00B00465"/>
  </w:style>
  <w:style w:type="paragraph" w:customStyle="1" w:styleId="footnotetext">
    <w:name w:val="footnotetext"/>
    <w:basedOn w:val="a"/>
    <w:rsid w:val="00B0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662AAD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662AAD"/>
    <w:pPr>
      <w:spacing w:after="0" w:line="240" w:lineRule="auto"/>
    </w:pPr>
    <w:rPr>
      <w:sz w:val="20"/>
      <w:szCs w:val="20"/>
    </w:rPr>
  </w:style>
  <w:style w:type="character" w:customStyle="1" w:styleId="a7">
    <w:name w:val="Текст на бележка в края Знак"/>
    <w:basedOn w:val="a0"/>
    <w:link w:val="a6"/>
    <w:uiPriority w:val="99"/>
    <w:semiHidden/>
    <w:rsid w:val="00662AAD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62AAD"/>
    <w:rPr>
      <w:vertAlign w:val="superscript"/>
    </w:rPr>
  </w:style>
  <w:style w:type="paragraph" w:styleId="a9">
    <w:name w:val="footnote text"/>
    <w:basedOn w:val="a"/>
    <w:link w:val="aa"/>
    <w:uiPriority w:val="99"/>
    <w:unhideWhenUsed/>
    <w:rsid w:val="00662AAD"/>
    <w:pPr>
      <w:spacing w:after="0" w:line="240" w:lineRule="auto"/>
    </w:pPr>
    <w:rPr>
      <w:sz w:val="20"/>
      <w:szCs w:val="20"/>
    </w:rPr>
  </w:style>
  <w:style w:type="character" w:customStyle="1" w:styleId="aa">
    <w:name w:val="Текст под линия Знак"/>
    <w:basedOn w:val="a0"/>
    <w:link w:val="a9"/>
    <w:uiPriority w:val="99"/>
    <w:rsid w:val="00662AA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62AAD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2B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007">
              <w:marLeft w:val="0"/>
              <w:marRight w:val="0"/>
              <w:marTop w:val="300"/>
              <w:marBottom w:val="300"/>
              <w:divBdr>
                <w:top w:val="dashed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8421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2" w:color="000000"/>
                <w:bottom w:val="single" w:sz="6" w:space="0" w:color="000000"/>
                <w:right w:val="single" w:sz="6" w:space="2" w:color="000000"/>
              </w:divBdr>
            </w:div>
          </w:divsChild>
        </w:div>
        <w:div w:id="1569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10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2" w:color="000000"/>
                <w:bottom w:val="single" w:sz="6" w:space="0" w:color="000000"/>
                <w:right w:val="single" w:sz="6" w:space="2" w:color="000000"/>
              </w:divBdr>
            </w:div>
            <w:div w:id="176765713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2" w:color="000000"/>
                <w:bottom w:val="single" w:sz="6" w:space="0" w:color="000000"/>
                <w:right w:val="single" w:sz="6" w:space="2" w:color="000000"/>
              </w:divBdr>
            </w:div>
            <w:div w:id="1989239834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2" w:color="000000"/>
                <w:bottom w:val="single" w:sz="6" w:space="0" w:color="000000"/>
                <w:right w:val="single" w:sz="6" w:space="2" w:color="000000"/>
              </w:divBdr>
            </w:div>
          </w:divsChild>
        </w:div>
        <w:div w:id="91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652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2" w:color="000000"/>
                <w:bottom w:val="single" w:sz="6" w:space="0" w:color="000000"/>
                <w:right w:val="single" w:sz="6" w:space="2" w:color="000000"/>
              </w:divBdr>
            </w:div>
            <w:div w:id="74792574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2" w:color="000000"/>
                <w:bottom w:val="single" w:sz="6" w:space="0" w:color="000000"/>
                <w:right w:val="single" w:sz="6" w:space="2" w:color="000000"/>
              </w:divBdr>
            </w:div>
          </w:divsChild>
        </w:div>
        <w:div w:id="15558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98545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2" w:color="000000"/>
                <w:bottom w:val="single" w:sz="6" w:space="0" w:color="000000"/>
                <w:right w:val="single" w:sz="6" w:space="2" w:color="000000"/>
              </w:divBdr>
            </w:div>
            <w:div w:id="29511061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2" w:color="000000"/>
                <w:bottom w:val="single" w:sz="6" w:space="0" w:color="000000"/>
                <w:right w:val="single" w:sz="6" w:space="2" w:color="000000"/>
              </w:divBdr>
            </w:div>
          </w:divsChild>
        </w:div>
        <w:div w:id="5472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1155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2" w:color="000000"/>
                <w:bottom w:val="single" w:sz="6" w:space="0" w:color="000000"/>
                <w:right w:val="single" w:sz="6" w:space="2" w:color="000000"/>
              </w:divBdr>
            </w:div>
          </w:divsChild>
        </w:div>
        <w:div w:id="12274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document/download/e6cd4328-673c-4e7a-8683-f63ffb2cf648_bg?filename=Political%20Guidelines%202024-2029_B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document/download/5bb2881f-9e29-42f2-8b77-8739b19d047c_en?filename=2024_Niinisto-report_Book_VF.pdf" TargetMode="External"/><Relationship Id="rId13" Type="http://schemas.openxmlformats.org/officeDocument/2006/relationships/hyperlink" Target="https://commission.europa.eu/document/download/97e481fd-2dc3-412d-be4c-f152a8232961_en?filename=The%20future%20of%20European%20competitiveness%20_%20A%20competitiveness%20strategy%20for%20Europe.pdf" TargetMode="External"/><Relationship Id="rId18" Type="http://schemas.openxmlformats.org/officeDocument/2006/relationships/hyperlink" Target="https://commission.europa.eu/strategy-and-policy/priorities-2019-2024/europe-fit-digital-age/europes-digital-decade-digital-targets-2030_bg" TargetMode="External"/><Relationship Id="rId26" Type="http://schemas.openxmlformats.org/officeDocument/2006/relationships/hyperlink" Target="https://op.europa.eu/en/publication-detail/-/publication/1b2c729b-0a03-11ec-b5d3-01aa75ed71a1/language-en" TargetMode="External"/><Relationship Id="rId3" Type="http://schemas.openxmlformats.org/officeDocument/2006/relationships/hyperlink" Target="https://commission.europa.eu/document/download/97e481fd-2dc3-412d-be4c-f152a8232961_en?filename=The%20future%20of%20European%20competitiveness%20_%20A%20competitiveness%20strategy%20for%20Europe.pdf" TargetMode="External"/><Relationship Id="rId21" Type="http://schemas.openxmlformats.org/officeDocument/2006/relationships/hyperlink" Target="https://rm.coe.int/cepej-2024-9-guidelines-on-the-online-publication-of-judicial-decision/1680b2d0de" TargetMode="External"/><Relationship Id="rId7" Type="http://schemas.openxmlformats.org/officeDocument/2006/relationships/hyperlink" Target="https://www.consilium.europa.eu/media/ny3j24sm/much-more-than-a-market-report-by-enrico-letta.pdf" TargetMode="External"/><Relationship Id="rId12" Type="http://schemas.openxmlformats.org/officeDocument/2006/relationships/hyperlink" Target="https://data.consilium.europa.eu/doc/document/ST-16933-2024-INIT/bg/pdf" TargetMode="External"/><Relationship Id="rId17" Type="http://schemas.openxmlformats.org/officeDocument/2006/relationships/hyperlink" Target="https://commission.europa.eu/strategy-and-policy/priorities-2019-2024/europe-fit-digital-age/europes-digital-decade-digital-targets-2030_bg" TargetMode="External"/><Relationship Id="rId25" Type="http://schemas.openxmlformats.org/officeDocument/2006/relationships/hyperlink" Target="https://fra.europa.eu/en/publication/2025/digitalisation-justice" TargetMode="External"/><Relationship Id="rId2" Type="http://schemas.openxmlformats.org/officeDocument/2006/relationships/hyperlink" Target="https://commission.europa.eu/law/cross-border-cases/training-justice-professionals_en" TargetMode="External"/><Relationship Id="rId16" Type="http://schemas.openxmlformats.org/officeDocument/2006/relationships/hyperlink" Target="https://commission.europa.eu/strategy-and-policy/priorities-2019-2024/europe-fit-digital-age/europes-digital-decade-digital-targets-2030_bg" TargetMode="External"/><Relationship Id="rId20" Type="http://schemas.openxmlformats.org/officeDocument/2006/relationships/hyperlink" Target="https://rm.coe.int/cepej-2021-15-en-e-filing-guidelines-digitalisation-courts/1680a4cf87" TargetMode="External"/><Relationship Id="rId1" Type="http://schemas.openxmlformats.org/officeDocument/2006/relationships/hyperlink" Target="https://commission.europa.eu/document/download/be9f8125-b561-4d06-accc-96312f0df0d2_en?filename=Digitalisation%20of%20Justice%202023_Rapport_interactive%20def%205.pdf" TargetMode="External"/><Relationship Id="rId6" Type="http://schemas.openxmlformats.org/officeDocument/2006/relationships/hyperlink" Target="https://commission.europa.eu/document/download/97e481fd-2dc3-412d-be4c-f152a8232961_en?filename=The%20future%20of%20European%20competitiveness%20_%20A%20competitiveness%20strategy%20for%20Europe.pdf" TargetMode="External"/><Relationship Id="rId11" Type="http://schemas.openxmlformats.org/officeDocument/2006/relationships/hyperlink" Target="https://commission.europa.eu/document/download/97e481fd-2dc3-412d-be4c-f152a8232961_en?filename=The%20future%20of%20European%20competitiveness%20_%20A%20competitiveness%20strategy%20for%20Europe.pdf" TargetMode="External"/><Relationship Id="rId24" Type="http://schemas.openxmlformats.org/officeDocument/2006/relationships/hyperlink" Target="https://fra.europa.eu/en/publication/2025/digitalisation-justice" TargetMode="External"/><Relationship Id="rId5" Type="http://schemas.openxmlformats.org/officeDocument/2006/relationships/hyperlink" Target="https://commission.europa.eu/document/download/e6cd4328-673c-4e7a-8683-f63ffb2cf648_bg?filename=Political%20Guidelines%202024-2029_BG.pdf" TargetMode="External"/><Relationship Id="rId15" Type="http://schemas.openxmlformats.org/officeDocument/2006/relationships/hyperlink" Target="https://eur-lex.europa.eu/legal-content/BG/TXT/PDF/?uri=CELEX:52022DC0028" TargetMode="External"/><Relationship Id="rId23" Type="http://schemas.openxmlformats.org/officeDocument/2006/relationships/hyperlink" Target="https://academy.europa.eu/local/euacademy/pages/course/community-overview.php?title=interoperable-europe-academy-community" TargetMode="External"/><Relationship Id="rId10" Type="http://schemas.openxmlformats.org/officeDocument/2006/relationships/hyperlink" Target="https://commission.europa.eu/document/download/97e481fd-2dc3-412d-be4c-f152a8232961_en?filename=The%20future%20of%20European%20competitiveness%20_%20A%20competitiveness%20strategy%20for%20Europe.pdf" TargetMode="External"/><Relationship Id="rId19" Type="http://schemas.openxmlformats.org/officeDocument/2006/relationships/hyperlink" Target="https://reform-support.ec.europa.eu/public-administration-and-governance-coordination/enhancing-european-administrative-space-compact_en" TargetMode="External"/><Relationship Id="rId4" Type="http://schemas.openxmlformats.org/officeDocument/2006/relationships/hyperlink" Target="https://commission.europa.eu/document/download/10017eb1-4722-4333-add2-e0ed18105a34_en?filename=Communication_1.pdf" TargetMode="External"/><Relationship Id="rId9" Type="http://schemas.openxmlformats.org/officeDocument/2006/relationships/hyperlink" Target="https://eur-lex.europa.eu/legal-content/BG/TXT/PDF/?uri=OJ:C_202500437" TargetMode="External"/><Relationship Id="rId14" Type="http://schemas.openxmlformats.org/officeDocument/2006/relationships/hyperlink" Target="https://eur-lex.europa.eu/legal-content/BG/TXT/PDF/?uri=CELEX:52025DC0090" TargetMode="External"/><Relationship Id="rId22" Type="http://schemas.openxmlformats.org/officeDocument/2006/relationships/hyperlink" Target="https://interoperable-europe.ec.europa.eu/collection/interoperable-europe-academy" TargetMode="External"/><Relationship Id="rId27" Type="http://schemas.openxmlformats.org/officeDocument/2006/relationships/hyperlink" Target="https://eur-lex.europa.eu/legal-content/BG/TXT/PDF/?uri=OJ:C_202500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DB87-5E75-4F87-B9A9-36A30F88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18</Pages>
  <Words>7274</Words>
  <Characters>41464</Characters>
  <Application>Microsoft Office Word</Application>
  <DocSecurity>0</DocSecurity>
  <Lines>345</Lines>
  <Paragraphs>97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Miglena Tacheva</dc:creator>
  <cp:keywords/>
  <dc:description/>
  <cp:lastModifiedBy>Димитър Митев</cp:lastModifiedBy>
  <cp:revision>4</cp:revision>
  <dcterms:created xsi:type="dcterms:W3CDTF">2026-04-07T10:58:00Z</dcterms:created>
  <dcterms:modified xsi:type="dcterms:W3CDTF">2026-04-07T11:36:00Z</dcterms:modified>
</cp:coreProperties>
</file>